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B652" w14:textId="2C35F980" w:rsidR="005253B2" w:rsidRPr="00005D1D" w:rsidRDefault="005E145E" w:rsidP="008066D6">
      <w:pPr>
        <w:spacing w:after="440" w:line="252" w:lineRule="auto"/>
        <w:rPr>
          <w:rFonts w:ascii="Arial" w:hAnsi="Arial" w:cs="Arial"/>
          <w:color w:val="0083A9"/>
          <w:sz w:val="40"/>
          <w:szCs w:val="40"/>
        </w:rPr>
      </w:pPr>
      <w:r w:rsidRPr="00B130AF">
        <w:rPr>
          <w:rFonts w:ascii="Arial" w:hAnsi="Arial" w:cs="Arial"/>
          <w:color w:val="0083A9"/>
          <w:sz w:val="40"/>
          <w:szCs w:val="40"/>
        </w:rPr>
        <w:t>Engagement Policy</w:t>
      </w:r>
      <w:r w:rsidRPr="00005D1D">
        <w:rPr>
          <w:rFonts w:ascii="Arial" w:hAnsi="Arial" w:cs="Arial"/>
          <w:color w:val="0083A9"/>
          <w:sz w:val="40"/>
          <w:szCs w:val="40"/>
        </w:rPr>
        <w:t xml:space="preserve"> Implementation Statement</w:t>
      </w:r>
      <w:r w:rsidR="00005D1D" w:rsidRPr="00005D1D">
        <w:rPr>
          <w:rFonts w:ascii="Arial" w:hAnsi="Arial" w:cs="Arial"/>
          <w:color w:val="0083A9"/>
          <w:sz w:val="40"/>
          <w:szCs w:val="40"/>
        </w:rPr>
        <w:t xml:space="preserve"> (“</w:t>
      </w:r>
      <w:r w:rsidR="00005D1D" w:rsidRPr="00B130AF">
        <w:rPr>
          <w:rFonts w:ascii="Arial" w:hAnsi="Arial" w:cs="Arial"/>
          <w:color w:val="0083A9"/>
          <w:sz w:val="40"/>
          <w:szCs w:val="40"/>
        </w:rPr>
        <w:t>EP</w:t>
      </w:r>
      <w:r w:rsidR="00005D1D" w:rsidRPr="00005D1D">
        <w:rPr>
          <w:rFonts w:ascii="Arial" w:hAnsi="Arial" w:cs="Arial"/>
          <w:color w:val="0083A9"/>
          <w:sz w:val="40"/>
          <w:szCs w:val="40"/>
        </w:rPr>
        <w:t>IS”)</w:t>
      </w:r>
    </w:p>
    <w:p w14:paraId="4BD81650" w14:textId="151E9487" w:rsidR="00B817F3" w:rsidRPr="006E5C40" w:rsidRDefault="006E5C40" w:rsidP="00B817F3">
      <w:pPr>
        <w:tabs>
          <w:tab w:val="left" w:pos="3444"/>
        </w:tabs>
        <w:spacing w:after="0" w:line="252" w:lineRule="auto"/>
        <w:rPr>
          <w:rFonts w:ascii="Arial" w:hAnsi="Arial" w:cs="Arial"/>
          <w:color w:val="0083A9"/>
          <w:sz w:val="32"/>
          <w:szCs w:val="32"/>
        </w:rPr>
      </w:pPr>
      <w:r w:rsidRPr="006E5C40">
        <w:rPr>
          <w:rFonts w:ascii="Arial" w:hAnsi="Arial" w:cs="Arial"/>
          <w:color w:val="0083A9"/>
          <w:sz w:val="32"/>
          <w:szCs w:val="32"/>
        </w:rPr>
        <w:t xml:space="preserve">GE Energy </w:t>
      </w:r>
      <w:r w:rsidR="005E145E" w:rsidRPr="005D06F1">
        <w:rPr>
          <w:rFonts w:ascii="Arial" w:hAnsi="Arial" w:cs="Arial"/>
          <w:color w:val="0083A9"/>
          <w:sz w:val="32"/>
          <w:szCs w:val="32"/>
        </w:rPr>
        <w:t>Pension Scheme</w:t>
      </w:r>
      <w:r w:rsidR="00F3144F" w:rsidRPr="006E5C40">
        <w:rPr>
          <w:rFonts w:ascii="Arial" w:hAnsi="Arial" w:cs="Arial"/>
          <w:color w:val="0083A9"/>
          <w:sz w:val="32"/>
          <w:szCs w:val="32"/>
        </w:rPr>
        <w:t xml:space="preserve"> (the “</w:t>
      </w:r>
      <w:r w:rsidR="00F3144F" w:rsidRPr="005D06F1">
        <w:rPr>
          <w:rFonts w:ascii="Arial" w:hAnsi="Arial" w:cs="Arial"/>
          <w:color w:val="0083A9"/>
          <w:sz w:val="32"/>
          <w:szCs w:val="32"/>
        </w:rPr>
        <w:t>Scheme</w:t>
      </w:r>
      <w:r w:rsidR="00F3144F" w:rsidRPr="006E5C40">
        <w:rPr>
          <w:rFonts w:ascii="Arial" w:hAnsi="Arial" w:cs="Arial"/>
          <w:color w:val="0083A9"/>
          <w:sz w:val="32"/>
          <w:szCs w:val="32"/>
        </w:rPr>
        <w:t>”)</w:t>
      </w:r>
    </w:p>
    <w:p w14:paraId="7BB50252" w14:textId="3F429459" w:rsidR="006338B1" w:rsidRPr="006E5C40" w:rsidRDefault="000B7EB2" w:rsidP="00C609FB">
      <w:pPr>
        <w:tabs>
          <w:tab w:val="left" w:pos="3444"/>
        </w:tabs>
        <w:spacing w:after="360" w:line="252" w:lineRule="auto"/>
        <w:rPr>
          <w:rFonts w:ascii="Arial" w:hAnsi="Arial" w:cs="Arial"/>
          <w:color w:val="0083A9"/>
          <w:sz w:val="32"/>
          <w:szCs w:val="32"/>
        </w:rPr>
      </w:pPr>
      <w:r w:rsidRPr="005D06F1">
        <w:rPr>
          <w:rFonts w:ascii="Arial" w:hAnsi="Arial" w:cs="Arial"/>
          <w:color w:val="0083A9"/>
          <w:sz w:val="28"/>
          <w:szCs w:val="28"/>
        </w:rPr>
        <w:t>Scheme</w:t>
      </w:r>
      <w:r w:rsidRPr="006E5C40">
        <w:rPr>
          <w:rFonts w:ascii="Arial" w:hAnsi="Arial" w:cs="Arial"/>
          <w:color w:val="0083A9"/>
          <w:sz w:val="28"/>
          <w:szCs w:val="28"/>
        </w:rPr>
        <w:t xml:space="preserve"> </w:t>
      </w:r>
      <w:r w:rsidR="00982515" w:rsidRPr="006E5C40">
        <w:rPr>
          <w:rFonts w:ascii="Arial" w:hAnsi="Arial" w:cs="Arial"/>
          <w:color w:val="0083A9"/>
          <w:sz w:val="28"/>
          <w:szCs w:val="28"/>
        </w:rPr>
        <w:t xml:space="preserve">Year End – </w:t>
      </w:r>
      <w:r w:rsidR="006E5C40" w:rsidRPr="006E5C40">
        <w:rPr>
          <w:rFonts w:ascii="Arial" w:hAnsi="Arial" w:cs="Arial"/>
          <w:color w:val="0083A9"/>
          <w:sz w:val="28"/>
          <w:szCs w:val="28"/>
        </w:rPr>
        <w:t>31 March 2024</w:t>
      </w:r>
    </w:p>
    <w:p w14:paraId="41D72AE9" w14:textId="795534D0" w:rsidR="006338B1" w:rsidRPr="006E5C40" w:rsidRDefault="006338B1" w:rsidP="00C609FB">
      <w:pPr>
        <w:spacing w:after="0" w:line="252" w:lineRule="auto"/>
        <w:rPr>
          <w:rFonts w:ascii="Arial" w:hAnsi="Arial" w:cs="Arial"/>
          <w:color w:val="7F7F7F" w:themeColor="text1" w:themeTint="80"/>
          <w:sz w:val="28"/>
          <w:szCs w:val="28"/>
        </w:rPr>
      </w:pPr>
      <w:r w:rsidRPr="006E5C40">
        <w:rPr>
          <w:rFonts w:ascii="Arial" w:hAnsi="Arial" w:cs="Arial"/>
          <w:color w:val="7F7F7F" w:themeColor="text1" w:themeTint="80"/>
          <w:sz w:val="28"/>
          <w:szCs w:val="28"/>
        </w:rPr>
        <w:t>T</w:t>
      </w:r>
      <w:r w:rsidR="003058BC" w:rsidRPr="006E5C40">
        <w:rPr>
          <w:rFonts w:ascii="Arial" w:hAnsi="Arial" w:cs="Arial"/>
          <w:color w:val="7F7F7F" w:themeColor="text1" w:themeTint="80"/>
          <w:sz w:val="28"/>
          <w:szCs w:val="28"/>
        </w:rPr>
        <w:t xml:space="preserve">he purpose of the EPIS is for </w:t>
      </w:r>
      <w:r w:rsidR="004B231F" w:rsidRPr="006E5C40">
        <w:rPr>
          <w:rFonts w:ascii="Arial" w:hAnsi="Arial" w:cs="Arial"/>
          <w:color w:val="7F7F7F" w:themeColor="text1" w:themeTint="80"/>
          <w:sz w:val="28"/>
          <w:szCs w:val="28"/>
        </w:rPr>
        <w:t>us</w:t>
      </w:r>
      <w:r w:rsidR="00B40461" w:rsidRPr="006E5C40">
        <w:rPr>
          <w:rFonts w:ascii="Arial" w:hAnsi="Arial" w:cs="Arial"/>
          <w:color w:val="7F7F7F" w:themeColor="text1" w:themeTint="80"/>
          <w:sz w:val="28"/>
          <w:szCs w:val="28"/>
        </w:rPr>
        <w:t xml:space="preserve">, the </w:t>
      </w:r>
      <w:r w:rsidR="00B40461" w:rsidRPr="005D06F1">
        <w:rPr>
          <w:rFonts w:ascii="Arial" w:hAnsi="Arial" w:cs="Arial"/>
          <w:color w:val="7F7F7F" w:themeColor="text1" w:themeTint="80"/>
          <w:sz w:val="28"/>
          <w:szCs w:val="28"/>
        </w:rPr>
        <w:t>Trustee</w:t>
      </w:r>
      <w:r w:rsidR="00B40461" w:rsidRPr="006E5C40">
        <w:rPr>
          <w:rFonts w:ascii="Arial" w:hAnsi="Arial" w:cs="Arial"/>
          <w:color w:val="7F7F7F" w:themeColor="text1" w:themeTint="80"/>
          <w:sz w:val="28"/>
          <w:szCs w:val="28"/>
        </w:rPr>
        <w:t xml:space="preserve"> of the </w:t>
      </w:r>
      <w:r w:rsidR="006E5C40" w:rsidRPr="00741B4C">
        <w:rPr>
          <w:rFonts w:ascii="Arial" w:hAnsi="Arial" w:cs="Arial"/>
          <w:color w:val="7F7F7F" w:themeColor="text1" w:themeTint="80"/>
          <w:sz w:val="28"/>
          <w:szCs w:val="28"/>
        </w:rPr>
        <w:t>GE Energy</w:t>
      </w:r>
      <w:r w:rsidR="006E5C40" w:rsidRPr="005D06F1" w:rsidDel="006E5C40">
        <w:rPr>
          <w:rFonts w:ascii="Arial" w:hAnsi="Arial" w:cs="Arial"/>
          <w:color w:val="7F7F7F" w:themeColor="text1" w:themeTint="80"/>
          <w:sz w:val="28"/>
          <w:szCs w:val="28"/>
        </w:rPr>
        <w:t xml:space="preserve"> </w:t>
      </w:r>
      <w:r w:rsidR="00B40461" w:rsidRPr="005D06F1">
        <w:rPr>
          <w:rFonts w:ascii="Arial" w:hAnsi="Arial" w:cs="Arial"/>
          <w:color w:val="7F7F7F" w:themeColor="text1" w:themeTint="80"/>
          <w:sz w:val="28"/>
          <w:szCs w:val="28"/>
        </w:rPr>
        <w:t>Pension Scheme</w:t>
      </w:r>
      <w:r w:rsidR="00B40461" w:rsidRPr="006E5C40">
        <w:rPr>
          <w:rFonts w:ascii="Arial" w:hAnsi="Arial" w:cs="Arial"/>
          <w:color w:val="7F7F7F" w:themeColor="text1" w:themeTint="80"/>
          <w:sz w:val="28"/>
          <w:szCs w:val="28"/>
        </w:rPr>
        <w:t>,</w:t>
      </w:r>
      <w:r w:rsidR="004B231F" w:rsidRPr="006E5C40">
        <w:rPr>
          <w:rFonts w:ascii="Arial" w:hAnsi="Arial" w:cs="Arial"/>
          <w:color w:val="7F7F7F" w:themeColor="text1" w:themeTint="80"/>
          <w:sz w:val="28"/>
          <w:szCs w:val="28"/>
        </w:rPr>
        <w:t xml:space="preserve"> </w:t>
      </w:r>
      <w:r w:rsidR="003058BC" w:rsidRPr="006E5C40">
        <w:rPr>
          <w:rFonts w:ascii="Arial" w:hAnsi="Arial" w:cs="Arial"/>
          <w:color w:val="7F7F7F" w:themeColor="text1" w:themeTint="80"/>
          <w:sz w:val="28"/>
          <w:szCs w:val="28"/>
        </w:rPr>
        <w:t xml:space="preserve">to explain </w:t>
      </w:r>
      <w:r w:rsidR="004B231F" w:rsidRPr="006E5C40">
        <w:rPr>
          <w:rFonts w:ascii="Arial" w:hAnsi="Arial" w:cs="Arial"/>
          <w:color w:val="7F7F7F" w:themeColor="text1" w:themeTint="80"/>
          <w:sz w:val="28"/>
          <w:szCs w:val="28"/>
        </w:rPr>
        <w:t xml:space="preserve">what we have done during the year </w:t>
      </w:r>
      <w:r w:rsidR="001F00D6" w:rsidRPr="006E5C40">
        <w:rPr>
          <w:rFonts w:ascii="Arial" w:hAnsi="Arial" w:cs="Arial"/>
          <w:color w:val="7F7F7F" w:themeColor="text1" w:themeTint="80"/>
          <w:sz w:val="28"/>
          <w:szCs w:val="28"/>
        </w:rPr>
        <w:t>ending</w:t>
      </w:r>
      <w:r w:rsidR="00675F60" w:rsidRPr="006E5C40">
        <w:rPr>
          <w:rFonts w:ascii="Arial" w:hAnsi="Arial" w:cs="Arial"/>
          <w:color w:val="7F7F7F" w:themeColor="text1" w:themeTint="80"/>
          <w:sz w:val="28"/>
          <w:szCs w:val="28"/>
        </w:rPr>
        <w:t xml:space="preserve"> </w:t>
      </w:r>
      <w:r w:rsidR="006E5C40" w:rsidRPr="006E5C40">
        <w:rPr>
          <w:rFonts w:ascii="Arial" w:hAnsi="Arial" w:cs="Arial"/>
          <w:color w:val="7F7F7F" w:themeColor="text1" w:themeTint="80"/>
          <w:sz w:val="28"/>
          <w:szCs w:val="28"/>
        </w:rPr>
        <w:t>31 March 2024</w:t>
      </w:r>
      <w:r w:rsidR="00D47B5D" w:rsidRPr="006E5C40">
        <w:rPr>
          <w:rFonts w:ascii="Arial" w:hAnsi="Arial" w:cs="Arial"/>
          <w:color w:val="7F7F7F" w:themeColor="text1" w:themeTint="80"/>
          <w:sz w:val="28"/>
          <w:szCs w:val="28"/>
        </w:rPr>
        <w:t xml:space="preserve"> to </w:t>
      </w:r>
      <w:r w:rsidR="002823D6" w:rsidRPr="006E5C40">
        <w:rPr>
          <w:rFonts w:ascii="Arial" w:hAnsi="Arial" w:cs="Arial"/>
          <w:color w:val="7F7F7F" w:themeColor="text1" w:themeTint="80"/>
          <w:sz w:val="28"/>
          <w:szCs w:val="28"/>
        </w:rPr>
        <w:t xml:space="preserve">achieve certain policies and objectives set out in the </w:t>
      </w:r>
      <w:r w:rsidR="003058BC" w:rsidRPr="006E5C40">
        <w:rPr>
          <w:rFonts w:ascii="Arial" w:hAnsi="Arial" w:cs="Arial"/>
          <w:color w:val="7F7F7F" w:themeColor="text1" w:themeTint="80"/>
          <w:sz w:val="28"/>
          <w:szCs w:val="28"/>
        </w:rPr>
        <w:t>Statement of Investment Principles</w:t>
      </w:r>
      <w:r w:rsidR="005D06F1">
        <w:rPr>
          <w:rFonts w:ascii="Arial" w:hAnsi="Arial" w:cs="Arial"/>
          <w:color w:val="7F7F7F" w:themeColor="text1" w:themeTint="80"/>
          <w:sz w:val="28"/>
          <w:szCs w:val="28"/>
        </w:rPr>
        <w:t xml:space="preserve"> </w:t>
      </w:r>
      <w:r w:rsidR="000C5F97">
        <w:rPr>
          <w:rFonts w:ascii="Arial" w:hAnsi="Arial" w:cs="Arial"/>
          <w:color w:val="7F7F7F" w:themeColor="text1" w:themeTint="80"/>
          <w:sz w:val="28"/>
          <w:szCs w:val="28"/>
        </w:rPr>
        <w:t>(</w:t>
      </w:r>
      <w:r w:rsidR="00675F60" w:rsidRPr="000C5F97">
        <w:rPr>
          <w:rFonts w:ascii="Arial" w:hAnsi="Arial" w:cs="Arial"/>
          <w:color w:val="7F7F7F" w:themeColor="text1" w:themeTint="80"/>
          <w:sz w:val="28"/>
          <w:szCs w:val="28"/>
        </w:rPr>
        <w:t>“</w:t>
      </w:r>
      <w:r w:rsidR="003058BC" w:rsidRPr="006E5C40">
        <w:rPr>
          <w:rFonts w:ascii="Arial" w:hAnsi="Arial" w:cs="Arial"/>
          <w:color w:val="7F7F7F" w:themeColor="text1" w:themeTint="80"/>
          <w:sz w:val="28"/>
          <w:szCs w:val="28"/>
        </w:rPr>
        <w:t>SIP</w:t>
      </w:r>
      <w:r w:rsidR="00005D1D" w:rsidRPr="006E5C40">
        <w:rPr>
          <w:rFonts w:ascii="Arial" w:hAnsi="Arial" w:cs="Arial"/>
          <w:color w:val="7F7F7F" w:themeColor="text1" w:themeTint="80"/>
          <w:sz w:val="28"/>
          <w:szCs w:val="28"/>
        </w:rPr>
        <w:t>”</w:t>
      </w:r>
      <w:r w:rsidR="003058BC" w:rsidRPr="006E5C40">
        <w:rPr>
          <w:rFonts w:ascii="Arial" w:hAnsi="Arial" w:cs="Arial"/>
          <w:color w:val="7F7F7F" w:themeColor="text1" w:themeTint="80"/>
          <w:sz w:val="28"/>
          <w:szCs w:val="28"/>
        </w:rPr>
        <w:t>). It includes:</w:t>
      </w:r>
    </w:p>
    <w:p w14:paraId="503F7A82" w14:textId="26345CC1" w:rsidR="006338B1" w:rsidRPr="006E5C40" w:rsidRDefault="006338B1" w:rsidP="006338B1">
      <w:pPr>
        <w:spacing w:after="0" w:line="252" w:lineRule="auto"/>
        <w:jc w:val="both"/>
        <w:rPr>
          <w:rFonts w:ascii="Arial" w:hAnsi="Arial" w:cs="Arial"/>
          <w:color w:val="7F7F7F" w:themeColor="text1" w:themeTint="80"/>
          <w:sz w:val="24"/>
          <w:szCs w:val="24"/>
        </w:rPr>
        <w:sectPr w:rsidR="006338B1" w:rsidRPr="006E5C40" w:rsidSect="006338B1">
          <w:footerReference w:type="default" r:id="rId9"/>
          <w:type w:val="continuous"/>
          <w:pgSz w:w="11906" w:h="16838"/>
          <w:pgMar w:top="1440" w:right="849" w:bottom="1440" w:left="851" w:header="708" w:footer="708" w:gutter="0"/>
          <w:cols w:space="708"/>
          <w:docGrid w:linePitch="360"/>
        </w:sectPr>
      </w:pPr>
      <w:r w:rsidRPr="006E5C40">
        <w:rPr>
          <w:rFonts w:ascii="Arial" w:hAnsi="Arial" w:cs="Arial"/>
          <w:color w:val="7F7F7F" w:themeColor="text1" w:themeTint="80"/>
          <w:sz w:val="24"/>
          <w:szCs w:val="24"/>
        </w:rPr>
        <w:t xml:space="preserve"> </w:t>
      </w:r>
    </w:p>
    <w:p w14:paraId="2E4BAFFC" w14:textId="77777777" w:rsidR="006338B1" w:rsidRPr="006E5C40" w:rsidRDefault="006338B1" w:rsidP="006338B1">
      <w:pPr>
        <w:spacing w:after="0" w:line="252" w:lineRule="auto"/>
        <w:jc w:val="both"/>
        <w:rPr>
          <w:rFonts w:ascii="Arial" w:hAnsi="Arial" w:cs="Arial"/>
          <w:sz w:val="20"/>
          <w:szCs w:val="20"/>
        </w:rPr>
      </w:pPr>
    </w:p>
    <w:p w14:paraId="0952739F" w14:textId="0B756173" w:rsidR="003F0FD9" w:rsidRDefault="003F0FD9" w:rsidP="00C609FB">
      <w:pPr>
        <w:pStyle w:val="ListParagraph"/>
        <w:numPr>
          <w:ilvl w:val="0"/>
          <w:numId w:val="8"/>
        </w:numPr>
        <w:tabs>
          <w:tab w:val="num" w:pos="426"/>
        </w:tabs>
        <w:spacing w:after="0" w:line="252" w:lineRule="auto"/>
        <w:ind w:left="426" w:right="49" w:hanging="426"/>
        <w:rPr>
          <w:rFonts w:ascii="Arial" w:hAnsi="Arial" w:cs="Arial"/>
          <w:sz w:val="20"/>
          <w:szCs w:val="20"/>
        </w:rPr>
      </w:pPr>
      <w:r w:rsidRPr="006E5C40">
        <w:rPr>
          <w:rFonts w:ascii="Arial" w:hAnsi="Arial" w:cs="Arial"/>
          <w:sz w:val="20"/>
          <w:szCs w:val="20"/>
        </w:rPr>
        <w:t xml:space="preserve">How </w:t>
      </w:r>
      <w:r w:rsidR="004B231F" w:rsidRPr="006E5C40">
        <w:rPr>
          <w:rFonts w:ascii="Arial" w:hAnsi="Arial" w:cs="Arial"/>
          <w:sz w:val="20"/>
          <w:szCs w:val="20"/>
        </w:rPr>
        <w:t>our</w:t>
      </w:r>
      <w:r w:rsidRPr="006E5C40">
        <w:rPr>
          <w:rFonts w:ascii="Arial" w:hAnsi="Arial" w:cs="Arial"/>
          <w:sz w:val="20"/>
          <w:szCs w:val="20"/>
        </w:rPr>
        <w:t xml:space="preserve"> </w:t>
      </w:r>
      <w:r w:rsidR="005C26F8" w:rsidRPr="006E5C40">
        <w:rPr>
          <w:rFonts w:ascii="Arial" w:hAnsi="Arial" w:cs="Arial"/>
          <w:sz w:val="20"/>
          <w:szCs w:val="20"/>
        </w:rPr>
        <w:t xml:space="preserve">policies </w:t>
      </w:r>
      <w:r w:rsidR="00975872" w:rsidRPr="006E5C40">
        <w:rPr>
          <w:rFonts w:ascii="Arial" w:hAnsi="Arial" w:cs="Arial"/>
          <w:sz w:val="20"/>
          <w:szCs w:val="20"/>
        </w:rPr>
        <w:t>in the SIP about</w:t>
      </w:r>
      <w:r w:rsidR="005C26F8" w:rsidRPr="006E5C40">
        <w:rPr>
          <w:rFonts w:ascii="Arial" w:hAnsi="Arial" w:cs="Arial"/>
          <w:sz w:val="20"/>
          <w:szCs w:val="20"/>
        </w:rPr>
        <w:t xml:space="preserve"> </w:t>
      </w:r>
      <w:r w:rsidR="00975872" w:rsidRPr="006E5C40">
        <w:rPr>
          <w:rFonts w:ascii="Arial" w:hAnsi="Arial" w:cs="Arial"/>
          <w:sz w:val="20"/>
          <w:szCs w:val="20"/>
        </w:rPr>
        <w:t xml:space="preserve">asset </w:t>
      </w:r>
      <w:r w:rsidR="005C26F8" w:rsidRPr="006E5C40">
        <w:rPr>
          <w:rFonts w:ascii="Arial" w:hAnsi="Arial" w:cs="Arial"/>
          <w:sz w:val="20"/>
          <w:szCs w:val="20"/>
        </w:rPr>
        <w:t xml:space="preserve">stewardship </w:t>
      </w:r>
      <w:r w:rsidR="00F00A4B" w:rsidRPr="006E5C40">
        <w:rPr>
          <w:rFonts w:ascii="Arial" w:hAnsi="Arial" w:cs="Arial"/>
          <w:sz w:val="20"/>
          <w:szCs w:val="20"/>
        </w:rPr>
        <w:t xml:space="preserve">(including </w:t>
      </w:r>
      <w:r w:rsidR="005C26F8" w:rsidRPr="006E5C40">
        <w:rPr>
          <w:rFonts w:ascii="Arial" w:hAnsi="Arial" w:cs="Arial"/>
          <w:sz w:val="20"/>
          <w:szCs w:val="20"/>
        </w:rPr>
        <w:t xml:space="preserve">engagement </w:t>
      </w:r>
      <w:r w:rsidR="00450D59">
        <w:rPr>
          <w:rFonts w:ascii="Arial" w:hAnsi="Arial" w:cs="Arial"/>
          <w:sz w:val="20"/>
          <w:szCs w:val="20"/>
        </w:rPr>
        <w:t xml:space="preserve">and voting </w:t>
      </w:r>
      <w:r w:rsidR="00975872" w:rsidRPr="006E5C40">
        <w:rPr>
          <w:rFonts w:ascii="Arial" w:hAnsi="Arial" w:cs="Arial"/>
          <w:sz w:val="20"/>
          <w:szCs w:val="20"/>
        </w:rPr>
        <w:t>activity</w:t>
      </w:r>
      <w:r w:rsidR="00450D59">
        <w:rPr>
          <w:rFonts w:ascii="Arial" w:hAnsi="Arial" w:cs="Arial"/>
          <w:sz w:val="20"/>
          <w:szCs w:val="20"/>
        </w:rPr>
        <w:t xml:space="preserve"> if relevant</w:t>
      </w:r>
      <w:r w:rsidR="00524D60" w:rsidRPr="006E5C40">
        <w:rPr>
          <w:rFonts w:ascii="Arial" w:hAnsi="Arial" w:cs="Arial"/>
          <w:sz w:val="20"/>
          <w:szCs w:val="20"/>
        </w:rPr>
        <w:t>)</w:t>
      </w:r>
      <w:r w:rsidR="00975872" w:rsidRPr="006E5C40">
        <w:rPr>
          <w:rFonts w:ascii="Arial" w:hAnsi="Arial" w:cs="Arial"/>
          <w:sz w:val="20"/>
          <w:szCs w:val="20"/>
        </w:rPr>
        <w:t xml:space="preserve"> </w:t>
      </w:r>
      <w:r w:rsidR="005C26F8" w:rsidRPr="006E5C40">
        <w:rPr>
          <w:rFonts w:ascii="Arial" w:hAnsi="Arial" w:cs="Arial"/>
          <w:sz w:val="20"/>
          <w:szCs w:val="20"/>
        </w:rPr>
        <w:t xml:space="preserve">in </w:t>
      </w:r>
      <w:r w:rsidR="00975872" w:rsidRPr="006E5C40">
        <w:rPr>
          <w:rFonts w:ascii="Arial" w:hAnsi="Arial" w:cs="Arial"/>
          <w:sz w:val="20"/>
          <w:szCs w:val="20"/>
        </w:rPr>
        <w:t xml:space="preserve">relation to </w:t>
      </w:r>
      <w:r w:rsidR="005C26F8" w:rsidRPr="006E5C40">
        <w:rPr>
          <w:rFonts w:ascii="Arial" w:hAnsi="Arial" w:cs="Arial"/>
          <w:sz w:val="20"/>
          <w:szCs w:val="20"/>
        </w:rPr>
        <w:t>the</w:t>
      </w:r>
      <w:r w:rsidR="004B231F" w:rsidRPr="006E5C40">
        <w:rPr>
          <w:rFonts w:ascii="Arial" w:hAnsi="Arial" w:cs="Arial"/>
          <w:sz w:val="20"/>
          <w:szCs w:val="20"/>
        </w:rPr>
        <w:t xml:space="preserve"> </w:t>
      </w:r>
      <w:r w:rsidR="004B231F" w:rsidRPr="005D06F1">
        <w:rPr>
          <w:rFonts w:ascii="Arial" w:hAnsi="Arial" w:cs="Arial"/>
          <w:sz w:val="20"/>
          <w:szCs w:val="20"/>
        </w:rPr>
        <w:t>Scheme</w:t>
      </w:r>
      <w:r w:rsidR="004B231F" w:rsidRPr="006E5C40">
        <w:rPr>
          <w:rFonts w:ascii="Arial" w:hAnsi="Arial" w:cs="Arial"/>
          <w:sz w:val="20"/>
          <w:szCs w:val="20"/>
        </w:rPr>
        <w:t>’s</w:t>
      </w:r>
      <w:r w:rsidR="005C26F8" w:rsidRPr="006E5C40">
        <w:rPr>
          <w:rFonts w:ascii="Arial" w:hAnsi="Arial" w:cs="Arial"/>
          <w:sz w:val="20"/>
          <w:szCs w:val="20"/>
        </w:rPr>
        <w:t xml:space="preserve"> investments</w:t>
      </w:r>
      <w:r w:rsidR="005C26F8" w:rsidRPr="00A166B2">
        <w:rPr>
          <w:rFonts w:ascii="Arial" w:hAnsi="Arial" w:cs="Arial"/>
          <w:sz w:val="20"/>
          <w:szCs w:val="20"/>
        </w:rPr>
        <w:t xml:space="preserve"> have been followed during the year</w:t>
      </w:r>
      <w:r w:rsidRPr="000454CE">
        <w:rPr>
          <w:rFonts w:ascii="Arial" w:hAnsi="Arial" w:cs="Arial"/>
          <w:sz w:val="20"/>
          <w:szCs w:val="20"/>
        </w:rPr>
        <w:t xml:space="preserve">; and </w:t>
      </w:r>
    </w:p>
    <w:p w14:paraId="13CDAC45" w14:textId="3B8E69DE" w:rsidR="00D73D2C" w:rsidRPr="0096597D" w:rsidRDefault="00D73D2C" w:rsidP="00C609FB">
      <w:pPr>
        <w:spacing w:after="0" w:line="252" w:lineRule="auto"/>
        <w:ind w:right="49"/>
        <w:rPr>
          <w:rFonts w:ascii="Arial" w:hAnsi="Arial" w:cs="Arial"/>
          <w:sz w:val="20"/>
          <w:szCs w:val="20"/>
        </w:rPr>
      </w:pPr>
    </w:p>
    <w:p w14:paraId="3B2A4000" w14:textId="77141D1B" w:rsidR="003F0FD9" w:rsidRDefault="003F0FD9" w:rsidP="00C609FB">
      <w:pPr>
        <w:pStyle w:val="ListParagraph"/>
        <w:numPr>
          <w:ilvl w:val="0"/>
          <w:numId w:val="8"/>
        </w:numPr>
        <w:tabs>
          <w:tab w:val="num" w:pos="426"/>
        </w:tabs>
        <w:spacing w:after="0" w:line="252" w:lineRule="auto"/>
        <w:ind w:left="426" w:right="49" w:hanging="437"/>
        <w:rPr>
          <w:rFonts w:ascii="Arial" w:hAnsi="Arial" w:cs="Arial"/>
          <w:sz w:val="20"/>
          <w:szCs w:val="20"/>
        </w:rPr>
      </w:pPr>
      <w:r w:rsidRPr="000454CE">
        <w:rPr>
          <w:rFonts w:ascii="Arial" w:hAnsi="Arial" w:cs="Arial"/>
          <w:sz w:val="20"/>
          <w:szCs w:val="20"/>
        </w:rPr>
        <w:t xml:space="preserve">How </w:t>
      </w:r>
      <w:r w:rsidR="004B231F">
        <w:rPr>
          <w:rFonts w:ascii="Arial" w:hAnsi="Arial" w:cs="Arial"/>
          <w:sz w:val="20"/>
          <w:szCs w:val="20"/>
        </w:rPr>
        <w:t xml:space="preserve">we have exercised our </w:t>
      </w:r>
      <w:r w:rsidRPr="000454CE">
        <w:rPr>
          <w:rFonts w:ascii="Arial" w:hAnsi="Arial" w:cs="Arial"/>
          <w:sz w:val="20"/>
          <w:szCs w:val="20"/>
        </w:rPr>
        <w:t xml:space="preserve">voting </w:t>
      </w:r>
      <w:r w:rsidR="00C67E9C">
        <w:rPr>
          <w:rFonts w:ascii="Arial" w:hAnsi="Arial" w:cs="Arial"/>
          <w:sz w:val="20"/>
          <w:szCs w:val="20"/>
        </w:rPr>
        <w:t xml:space="preserve">rights </w:t>
      </w:r>
      <w:r w:rsidRPr="00A166B2">
        <w:rPr>
          <w:rFonts w:ascii="Arial" w:hAnsi="Arial" w:cs="Arial"/>
          <w:sz w:val="20"/>
          <w:szCs w:val="20"/>
        </w:rPr>
        <w:t xml:space="preserve">or </w:t>
      </w:r>
      <w:r w:rsidR="00B40461">
        <w:rPr>
          <w:rFonts w:ascii="Arial" w:hAnsi="Arial" w:cs="Arial"/>
          <w:sz w:val="20"/>
          <w:szCs w:val="20"/>
        </w:rPr>
        <w:t xml:space="preserve">how these rights have been exercised on our </w:t>
      </w:r>
      <w:r w:rsidRPr="000454CE">
        <w:rPr>
          <w:rFonts w:ascii="Arial" w:hAnsi="Arial" w:cs="Arial"/>
          <w:sz w:val="20"/>
          <w:szCs w:val="20"/>
        </w:rPr>
        <w:t>behalf</w:t>
      </w:r>
      <w:r w:rsidRPr="00A166B2">
        <w:rPr>
          <w:rFonts w:ascii="Arial" w:hAnsi="Arial" w:cs="Arial"/>
          <w:sz w:val="20"/>
          <w:szCs w:val="20"/>
        </w:rPr>
        <w:t>,</w:t>
      </w:r>
      <w:r w:rsidRPr="000454CE">
        <w:rPr>
          <w:rFonts w:ascii="Arial" w:hAnsi="Arial" w:cs="Arial"/>
          <w:sz w:val="20"/>
          <w:szCs w:val="20"/>
        </w:rPr>
        <w:t xml:space="preserve"> including the use of any proxy voting </w:t>
      </w:r>
      <w:r w:rsidR="000B2722">
        <w:rPr>
          <w:rFonts w:ascii="Arial" w:hAnsi="Arial" w:cs="Arial"/>
          <w:sz w:val="20"/>
          <w:szCs w:val="20"/>
        </w:rPr>
        <w:t xml:space="preserve">advisory </w:t>
      </w:r>
      <w:r w:rsidRPr="000454CE">
        <w:rPr>
          <w:rFonts w:ascii="Arial" w:hAnsi="Arial" w:cs="Arial"/>
          <w:sz w:val="20"/>
          <w:szCs w:val="20"/>
        </w:rPr>
        <w:t>services</w:t>
      </w:r>
      <w:r w:rsidR="00F00A4B">
        <w:rPr>
          <w:rFonts w:ascii="Arial" w:hAnsi="Arial" w:cs="Arial"/>
          <w:sz w:val="20"/>
          <w:szCs w:val="20"/>
        </w:rPr>
        <w:t xml:space="preserve">, and the </w:t>
      </w:r>
      <w:r w:rsidR="002D244B">
        <w:rPr>
          <w:rFonts w:ascii="Arial" w:hAnsi="Arial" w:cs="Arial"/>
          <w:sz w:val="20"/>
          <w:szCs w:val="20"/>
        </w:rPr>
        <w:t>‘</w:t>
      </w:r>
      <w:r w:rsidR="00F00A4B">
        <w:rPr>
          <w:rFonts w:ascii="Arial" w:hAnsi="Arial" w:cs="Arial"/>
          <w:sz w:val="20"/>
          <w:szCs w:val="20"/>
        </w:rPr>
        <w:t>most significant</w:t>
      </w:r>
      <w:r w:rsidR="002D244B">
        <w:rPr>
          <w:rFonts w:ascii="Arial" w:hAnsi="Arial" w:cs="Arial"/>
          <w:sz w:val="20"/>
          <w:szCs w:val="20"/>
        </w:rPr>
        <w:t>’</w:t>
      </w:r>
      <w:r w:rsidR="00F00A4B">
        <w:rPr>
          <w:rFonts w:ascii="Arial" w:hAnsi="Arial" w:cs="Arial"/>
          <w:sz w:val="20"/>
          <w:szCs w:val="20"/>
        </w:rPr>
        <w:t xml:space="preserve"> votes cast over the reporting year</w:t>
      </w:r>
      <w:r w:rsidR="00450D59">
        <w:rPr>
          <w:rFonts w:ascii="Arial" w:hAnsi="Arial" w:cs="Arial"/>
          <w:sz w:val="20"/>
          <w:szCs w:val="20"/>
        </w:rPr>
        <w:t xml:space="preserve"> where applicable</w:t>
      </w:r>
      <w:r w:rsidRPr="000454CE">
        <w:rPr>
          <w:rFonts w:ascii="Arial" w:hAnsi="Arial" w:cs="Arial"/>
          <w:sz w:val="20"/>
          <w:szCs w:val="20"/>
        </w:rPr>
        <w:t>.</w:t>
      </w:r>
    </w:p>
    <w:p w14:paraId="12831211" w14:textId="77777777" w:rsidR="00EE19AE" w:rsidRDefault="00EE19AE" w:rsidP="00874132">
      <w:pPr>
        <w:spacing w:after="0" w:line="252" w:lineRule="auto"/>
        <w:rPr>
          <w:rFonts w:ascii="Arial" w:hAnsi="Arial" w:cs="Arial"/>
          <w:sz w:val="20"/>
          <w:szCs w:val="20"/>
        </w:rPr>
      </w:pPr>
    </w:p>
    <w:p w14:paraId="27F0C62A" w14:textId="74B302E5" w:rsidR="006338B1" w:rsidRDefault="006338B1" w:rsidP="00874132">
      <w:pPr>
        <w:spacing w:after="0" w:line="252" w:lineRule="auto"/>
        <w:rPr>
          <w:rFonts w:ascii="Arial" w:hAnsi="Arial" w:cs="Arial"/>
          <w:sz w:val="20"/>
          <w:szCs w:val="20"/>
        </w:rPr>
        <w:sectPr w:rsidR="006338B1" w:rsidSect="0065357E">
          <w:type w:val="continuous"/>
          <w:pgSz w:w="11906" w:h="16838"/>
          <w:pgMar w:top="1440" w:right="3986" w:bottom="1440" w:left="851" w:header="708" w:footer="708" w:gutter="0"/>
          <w:cols w:space="708"/>
          <w:docGrid w:linePitch="360"/>
        </w:sectPr>
      </w:pPr>
    </w:p>
    <w:p w14:paraId="040E83F3" w14:textId="4F3DAFBD" w:rsidR="00C67E9C" w:rsidRDefault="00C67E9C" w:rsidP="00874132">
      <w:pPr>
        <w:spacing w:after="0" w:line="252" w:lineRule="auto"/>
        <w:rPr>
          <w:rFonts w:ascii="Arial" w:hAnsi="Arial" w:cs="Arial"/>
          <w:sz w:val="20"/>
          <w:szCs w:val="20"/>
        </w:rPr>
      </w:pPr>
    </w:p>
    <w:tbl>
      <w:tblPr>
        <w:tblStyle w:val="TableGrid"/>
        <w:tblW w:w="10245" w:type="dxa"/>
        <w:tblBorders>
          <w:top w:val="single" w:sz="12" w:space="0" w:color="0083A9"/>
          <w:left w:val="single" w:sz="12" w:space="0" w:color="0083A9"/>
          <w:bottom w:val="single" w:sz="12" w:space="0" w:color="0083A9"/>
          <w:right w:val="single" w:sz="12" w:space="0" w:color="0083A9"/>
          <w:insideH w:val="none" w:sz="0" w:space="0" w:color="auto"/>
          <w:insideV w:val="none" w:sz="0" w:space="0" w:color="auto"/>
        </w:tblBorders>
        <w:tblCellMar>
          <w:top w:w="198" w:type="dxa"/>
          <w:left w:w="284" w:type="dxa"/>
          <w:bottom w:w="198" w:type="dxa"/>
          <w:right w:w="284" w:type="dxa"/>
        </w:tblCellMar>
        <w:tblLook w:val="04A0" w:firstRow="1" w:lastRow="0" w:firstColumn="1" w:lastColumn="0" w:noHBand="0" w:noVBand="1"/>
      </w:tblPr>
      <w:tblGrid>
        <w:gridCol w:w="10245"/>
      </w:tblGrid>
      <w:tr w:rsidR="00013631" w14:paraId="49C0E844" w14:textId="77777777" w:rsidTr="00C609FB">
        <w:trPr>
          <w:trHeight w:val="3087"/>
        </w:trPr>
        <w:tc>
          <w:tcPr>
            <w:tcW w:w="10245" w:type="dxa"/>
          </w:tcPr>
          <w:p w14:paraId="7B541BCA" w14:textId="4A4D209F" w:rsidR="00013631" w:rsidRPr="00CD0B21" w:rsidRDefault="000F237C" w:rsidP="00874132">
            <w:pPr>
              <w:spacing w:after="160" w:line="252" w:lineRule="auto"/>
              <w:rPr>
                <w:rFonts w:ascii="Arial" w:hAnsi="Arial" w:cs="Arial"/>
                <w:sz w:val="28"/>
                <w:szCs w:val="28"/>
              </w:rPr>
            </w:pPr>
            <w:r>
              <w:rPr>
                <w:rFonts w:ascii="Arial" w:hAnsi="Arial" w:cs="Arial"/>
                <w:sz w:val="28"/>
                <w:szCs w:val="28"/>
              </w:rPr>
              <w:t>Our conclusion</w:t>
            </w:r>
          </w:p>
          <w:p w14:paraId="64BB0479" w14:textId="08556FDB" w:rsidR="00013631" w:rsidRPr="00013631" w:rsidRDefault="00013631" w:rsidP="00C609FB">
            <w:pPr>
              <w:spacing w:line="252" w:lineRule="auto"/>
              <w:rPr>
                <w:rFonts w:ascii="Arial" w:hAnsi="Arial" w:cs="Arial"/>
                <w:b/>
                <w:bCs/>
                <w:sz w:val="20"/>
                <w:szCs w:val="20"/>
              </w:rPr>
            </w:pPr>
            <w:r w:rsidRPr="00013631">
              <w:rPr>
                <w:rFonts w:ascii="Arial" w:hAnsi="Arial" w:cs="Arial"/>
                <w:b/>
                <w:bCs/>
                <w:sz w:val="20"/>
                <w:szCs w:val="20"/>
              </w:rPr>
              <w:t xml:space="preserve">Based on the activity </w:t>
            </w:r>
            <w:r w:rsidR="00B40461">
              <w:rPr>
                <w:rFonts w:ascii="Arial" w:hAnsi="Arial" w:cs="Arial"/>
                <w:b/>
                <w:bCs/>
                <w:sz w:val="20"/>
                <w:szCs w:val="20"/>
              </w:rPr>
              <w:t xml:space="preserve">we have undertaken during </w:t>
            </w:r>
            <w:r w:rsidRPr="00013631">
              <w:rPr>
                <w:rFonts w:ascii="Arial" w:hAnsi="Arial" w:cs="Arial"/>
                <w:b/>
                <w:bCs/>
                <w:sz w:val="20"/>
                <w:szCs w:val="20"/>
              </w:rPr>
              <w:t xml:space="preserve">the year, </w:t>
            </w:r>
            <w:r w:rsidR="00B40461">
              <w:rPr>
                <w:rFonts w:ascii="Arial" w:hAnsi="Arial" w:cs="Arial"/>
                <w:b/>
                <w:bCs/>
                <w:sz w:val="20"/>
                <w:szCs w:val="20"/>
              </w:rPr>
              <w:t xml:space="preserve">we </w:t>
            </w:r>
            <w:r w:rsidRPr="00013631">
              <w:rPr>
                <w:rFonts w:ascii="Arial" w:hAnsi="Arial" w:cs="Arial"/>
                <w:b/>
                <w:bCs/>
                <w:sz w:val="20"/>
                <w:szCs w:val="20"/>
              </w:rPr>
              <w:t>believe that the polic</w:t>
            </w:r>
            <w:r w:rsidR="00874132">
              <w:rPr>
                <w:rFonts w:ascii="Arial" w:hAnsi="Arial" w:cs="Arial"/>
                <w:b/>
                <w:bCs/>
                <w:sz w:val="20"/>
                <w:szCs w:val="20"/>
              </w:rPr>
              <w:t>ies</w:t>
            </w:r>
            <w:r w:rsidRPr="00013631">
              <w:rPr>
                <w:rFonts w:ascii="Arial" w:hAnsi="Arial" w:cs="Arial"/>
                <w:b/>
                <w:bCs/>
                <w:sz w:val="20"/>
                <w:szCs w:val="20"/>
              </w:rPr>
              <w:t xml:space="preserve"> set out in the SIP ha</w:t>
            </w:r>
            <w:r w:rsidR="00874132">
              <w:rPr>
                <w:rFonts w:ascii="Arial" w:hAnsi="Arial" w:cs="Arial"/>
                <w:b/>
                <w:bCs/>
                <w:sz w:val="20"/>
                <w:szCs w:val="20"/>
              </w:rPr>
              <w:t>ve</w:t>
            </w:r>
            <w:r w:rsidRPr="00013631">
              <w:rPr>
                <w:rFonts w:ascii="Arial" w:hAnsi="Arial" w:cs="Arial"/>
                <w:b/>
                <w:bCs/>
                <w:sz w:val="20"/>
                <w:szCs w:val="20"/>
              </w:rPr>
              <w:t xml:space="preserve"> been implemented effectively. </w:t>
            </w:r>
          </w:p>
          <w:p w14:paraId="75A78BF7" w14:textId="77777777" w:rsidR="00013631" w:rsidRDefault="00013631" w:rsidP="00C609FB">
            <w:pPr>
              <w:spacing w:line="252" w:lineRule="auto"/>
              <w:rPr>
                <w:rFonts w:ascii="Arial" w:hAnsi="Arial" w:cs="Arial"/>
                <w:sz w:val="20"/>
                <w:szCs w:val="20"/>
              </w:rPr>
            </w:pPr>
          </w:p>
          <w:p w14:paraId="301BBF10" w14:textId="00C4B9D0" w:rsidR="0028327B" w:rsidRPr="005D06F1" w:rsidRDefault="006E5C40" w:rsidP="001D3E2E">
            <w:pPr>
              <w:spacing w:line="252" w:lineRule="auto"/>
              <w:rPr>
                <w:rFonts w:ascii="Arial" w:hAnsi="Arial" w:cs="Arial"/>
                <w:sz w:val="20"/>
                <w:szCs w:val="20"/>
              </w:rPr>
            </w:pPr>
            <w:r w:rsidRPr="006E5C40">
              <w:rPr>
                <w:rFonts w:ascii="Arial" w:hAnsi="Arial" w:cs="Arial"/>
                <w:sz w:val="20"/>
                <w:szCs w:val="20"/>
              </w:rPr>
              <w:t xml:space="preserve">Over the reporting year, the </w:t>
            </w:r>
            <w:r w:rsidR="007C7E4F">
              <w:rPr>
                <w:rFonts w:ascii="Arial" w:hAnsi="Arial" w:cs="Arial"/>
                <w:sz w:val="20"/>
                <w:szCs w:val="20"/>
              </w:rPr>
              <w:t>Scheme</w:t>
            </w:r>
            <w:r w:rsidRPr="006E5C40">
              <w:rPr>
                <w:rFonts w:ascii="Arial" w:hAnsi="Arial" w:cs="Arial"/>
                <w:sz w:val="20"/>
                <w:szCs w:val="20"/>
              </w:rPr>
              <w:t xml:space="preserve"> did not hold any investments with voting rights. Therefore, no voting rights have been exercised on our behalf </w:t>
            </w:r>
            <w:r w:rsidR="000C5F97">
              <w:rPr>
                <w:rFonts w:ascii="Arial" w:hAnsi="Arial" w:cs="Arial"/>
                <w:sz w:val="20"/>
                <w:szCs w:val="20"/>
              </w:rPr>
              <w:t>over the</w:t>
            </w:r>
            <w:r w:rsidRPr="006E5C40">
              <w:rPr>
                <w:rFonts w:ascii="Arial" w:hAnsi="Arial" w:cs="Arial"/>
                <w:sz w:val="20"/>
                <w:szCs w:val="20"/>
              </w:rPr>
              <w:t xml:space="preserve"> year. In our view, most of the </w:t>
            </w:r>
            <w:r w:rsidR="007C7E4F">
              <w:rPr>
                <w:rFonts w:ascii="Arial" w:hAnsi="Arial" w:cs="Arial"/>
                <w:sz w:val="20"/>
                <w:szCs w:val="20"/>
              </w:rPr>
              <w:t>Scheme</w:t>
            </w:r>
            <w:r w:rsidRPr="006E5C40">
              <w:rPr>
                <w:rFonts w:ascii="Arial" w:hAnsi="Arial" w:cs="Arial"/>
                <w:sz w:val="20"/>
                <w:szCs w:val="20"/>
              </w:rPr>
              <w:t xml:space="preserve">’s material investment managers were able to disclose </w:t>
            </w:r>
            <w:r w:rsidRPr="005D06F1">
              <w:rPr>
                <w:rFonts w:ascii="Arial" w:hAnsi="Arial" w:cs="Arial"/>
                <w:sz w:val="20"/>
                <w:szCs w:val="20"/>
              </w:rPr>
              <w:t xml:space="preserve">adequate </w:t>
            </w:r>
            <w:r w:rsidR="001D3E2E" w:rsidRPr="005D06F1">
              <w:rPr>
                <w:rFonts w:ascii="Arial" w:hAnsi="Arial" w:cs="Arial"/>
                <w:sz w:val="20"/>
                <w:szCs w:val="20"/>
              </w:rPr>
              <w:t xml:space="preserve">evidence of engagement activity, and the activities completed by our managers align with our stewardship expectations. </w:t>
            </w:r>
          </w:p>
          <w:p w14:paraId="484BDA8E" w14:textId="77777777" w:rsidR="0028327B" w:rsidRPr="005D06F1" w:rsidRDefault="0028327B" w:rsidP="001D3E2E">
            <w:pPr>
              <w:spacing w:line="252" w:lineRule="auto"/>
              <w:rPr>
                <w:rFonts w:ascii="Arial" w:hAnsi="Arial" w:cs="Arial"/>
                <w:sz w:val="20"/>
                <w:szCs w:val="20"/>
              </w:rPr>
            </w:pPr>
          </w:p>
          <w:p w14:paraId="6945DAE3" w14:textId="5A5C3E3A" w:rsidR="001D3E2E" w:rsidRPr="005D06F1" w:rsidRDefault="0028327B" w:rsidP="001D3E2E">
            <w:pPr>
              <w:spacing w:line="252" w:lineRule="auto"/>
              <w:rPr>
                <w:rFonts w:ascii="Arial" w:hAnsi="Arial" w:cs="Arial"/>
                <w:sz w:val="20"/>
                <w:szCs w:val="20"/>
              </w:rPr>
            </w:pPr>
            <w:r w:rsidRPr="005D06F1">
              <w:rPr>
                <w:rFonts w:ascii="Arial" w:eastAsia="Arial" w:hAnsi="Arial" w:cs="Arial"/>
                <w:sz w:val="20"/>
                <w:szCs w:val="20"/>
              </w:rPr>
              <w:t xml:space="preserve">We delegate the management </w:t>
            </w:r>
            <w:r w:rsidR="000C5F97">
              <w:rPr>
                <w:rFonts w:ascii="Arial" w:eastAsia="Arial" w:hAnsi="Arial" w:cs="Arial"/>
                <w:sz w:val="20"/>
                <w:szCs w:val="20"/>
              </w:rPr>
              <w:t>of</w:t>
            </w:r>
            <w:r w:rsidRPr="005D06F1">
              <w:rPr>
                <w:rFonts w:ascii="Arial" w:eastAsia="Arial" w:hAnsi="Arial" w:cs="Arial"/>
                <w:sz w:val="20"/>
                <w:szCs w:val="20"/>
              </w:rPr>
              <w:t xml:space="preserve"> the Scheme’s assets to our fiduciary manager, </w:t>
            </w:r>
            <w:r w:rsidR="006E5C40" w:rsidRPr="006E5C40">
              <w:rPr>
                <w:rFonts w:ascii="Arial" w:eastAsia="Arial" w:hAnsi="Arial" w:cs="Arial"/>
                <w:sz w:val="20"/>
                <w:szCs w:val="20"/>
              </w:rPr>
              <w:t>State Street Global Advisers (“SSGA”)</w:t>
            </w:r>
            <w:r w:rsidR="006E5C40" w:rsidRPr="005D06F1">
              <w:rPr>
                <w:rFonts w:ascii="Arial" w:eastAsia="Arial" w:hAnsi="Arial" w:cs="Arial"/>
                <w:sz w:val="20"/>
                <w:szCs w:val="20"/>
              </w:rPr>
              <w:t xml:space="preserve">, </w:t>
            </w:r>
            <w:r w:rsidR="000C5F97" w:rsidRPr="00E07222">
              <w:rPr>
                <w:rFonts w:ascii="Arial" w:hAnsi="Arial" w:cs="Arial"/>
                <w:sz w:val="20"/>
                <w:szCs w:val="20"/>
              </w:rPr>
              <w:t xml:space="preserve">and we are comfortable with the management and the monitoring of ESG integration and stewardship of the underlying managers that has been carried out </w:t>
            </w:r>
            <w:r w:rsidR="000C5F97" w:rsidRPr="00780194">
              <w:rPr>
                <w:rFonts w:ascii="Arial" w:hAnsi="Arial" w:cs="Arial"/>
                <w:sz w:val="20"/>
                <w:szCs w:val="20"/>
              </w:rPr>
              <w:t>on our behalf.</w:t>
            </w:r>
          </w:p>
          <w:p w14:paraId="4ABCD840" w14:textId="74175CEC" w:rsidR="00EA43EA" w:rsidRDefault="00EA43EA" w:rsidP="00C609FB">
            <w:pPr>
              <w:spacing w:line="252" w:lineRule="auto"/>
              <w:rPr>
                <w:rFonts w:ascii="Arial" w:hAnsi="Arial" w:cs="Arial"/>
                <w:sz w:val="20"/>
                <w:szCs w:val="20"/>
              </w:rPr>
            </w:pPr>
          </w:p>
        </w:tc>
      </w:tr>
    </w:tbl>
    <w:p w14:paraId="50E5C7E9" w14:textId="38271ADF" w:rsidR="005165CD" w:rsidRDefault="005165CD" w:rsidP="00874132">
      <w:pPr>
        <w:pStyle w:val="ListParagraph"/>
        <w:spacing w:after="0" w:line="252" w:lineRule="auto"/>
        <w:ind w:left="0"/>
        <w:rPr>
          <w:rFonts w:ascii="Arial" w:hAnsi="Arial" w:cs="Arial"/>
          <w:sz w:val="20"/>
          <w:szCs w:val="20"/>
        </w:rPr>
        <w:sectPr w:rsidR="005165CD" w:rsidSect="00013631">
          <w:type w:val="continuous"/>
          <w:pgSz w:w="11906" w:h="16838"/>
          <w:pgMar w:top="1440" w:right="849" w:bottom="1440" w:left="851" w:header="708" w:footer="708" w:gutter="0"/>
          <w:cols w:space="708"/>
          <w:docGrid w:linePitch="360"/>
        </w:sectPr>
      </w:pPr>
    </w:p>
    <w:p w14:paraId="756E91D9" w14:textId="7C70C62D" w:rsidR="008A07D1" w:rsidRPr="008A07D1" w:rsidRDefault="008066D6" w:rsidP="0065357E">
      <w:pPr>
        <w:spacing w:line="252" w:lineRule="auto"/>
        <w:ind w:right="49"/>
        <w:rPr>
          <w:rFonts w:ascii="Arial" w:hAnsi="Arial" w:cs="Arial"/>
          <w:sz w:val="28"/>
          <w:szCs w:val="28"/>
        </w:rPr>
      </w:pPr>
      <w:r>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34E0E27B" wp14:editId="1183CCEA">
                <wp:simplePos x="0" y="0"/>
                <wp:positionH relativeFrom="margin">
                  <wp:posOffset>4799762</wp:posOffset>
                </wp:positionH>
                <wp:positionV relativeFrom="paragraph">
                  <wp:posOffset>-1701</wp:posOffset>
                </wp:positionV>
                <wp:extent cx="1800860" cy="4250131"/>
                <wp:effectExtent l="0" t="0" r="8890" b="0"/>
                <wp:wrapNone/>
                <wp:docPr id="1" name="Rectangle 1"/>
                <wp:cNvGraphicFramePr/>
                <a:graphic xmlns:a="http://schemas.openxmlformats.org/drawingml/2006/main">
                  <a:graphicData uri="http://schemas.microsoft.com/office/word/2010/wordprocessingShape">
                    <wps:wsp>
                      <wps:cNvSpPr/>
                      <wps:spPr>
                        <a:xfrm>
                          <a:off x="0" y="0"/>
                          <a:ext cx="1800860" cy="4250131"/>
                        </a:xfrm>
                        <a:prstGeom prst="rect">
                          <a:avLst/>
                        </a:prstGeom>
                        <a:solidFill>
                          <a:srgbClr val="DAEBF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3EE64D" w14:textId="77777777" w:rsidR="000102F4" w:rsidRPr="00C67E9C" w:rsidRDefault="000102F4" w:rsidP="000102F4">
                            <w:pPr>
                              <w:rPr>
                                <w:rFonts w:ascii="Arial" w:hAnsi="Arial" w:cs="Arial"/>
                                <w:color w:val="0083A9"/>
                                <w:sz w:val="24"/>
                                <w:szCs w:val="24"/>
                              </w:rPr>
                            </w:pPr>
                            <w:r w:rsidRPr="00C67E9C">
                              <w:rPr>
                                <w:rFonts w:ascii="Arial" w:hAnsi="Arial" w:cs="Arial"/>
                                <w:color w:val="0083A9"/>
                                <w:sz w:val="24"/>
                                <w:szCs w:val="24"/>
                              </w:rPr>
                              <w:t>What is stewardship?</w:t>
                            </w:r>
                          </w:p>
                          <w:p w14:paraId="7E15FCBF" w14:textId="77777777" w:rsidR="000102F4" w:rsidRPr="00D71C61" w:rsidRDefault="000102F4" w:rsidP="000102F4">
                            <w:pPr>
                              <w:spacing w:after="60"/>
                              <w:rPr>
                                <w:rFonts w:ascii="Arial" w:hAnsi="Arial" w:cs="Arial"/>
                                <w:color w:val="7F7F7F" w:themeColor="text1" w:themeTint="80"/>
                                <w:sz w:val="20"/>
                                <w:szCs w:val="20"/>
                              </w:rPr>
                            </w:pPr>
                            <w:r w:rsidRPr="00D71C61">
                              <w:rPr>
                                <w:rFonts w:ascii="Arial" w:hAnsi="Arial" w:cs="Arial"/>
                                <w:color w:val="7F7F7F" w:themeColor="text1" w:themeTint="80"/>
                                <w:sz w:val="20"/>
                                <w:szCs w:val="20"/>
                              </w:rPr>
                              <w:t xml:space="preserve">Stewardship is investors using their influence over current or potential investees/issuers, policy makers, service providers and other stakeholders to create long-term value for clients and beneficiaries leading to sustainable benefits for the economy, the environment and society. </w:t>
                            </w:r>
                          </w:p>
                          <w:p w14:paraId="2C8E376E" w14:textId="738BBC71" w:rsidR="000102F4" w:rsidRPr="00D71C61" w:rsidRDefault="000102F4" w:rsidP="000102F4">
                            <w:pPr>
                              <w:spacing w:after="60"/>
                              <w:rPr>
                                <w:rFonts w:ascii="Arial" w:hAnsi="Arial" w:cs="Arial"/>
                                <w:color w:val="7F7F7F" w:themeColor="text1" w:themeTint="80"/>
                                <w:sz w:val="20"/>
                                <w:szCs w:val="20"/>
                              </w:rPr>
                            </w:pPr>
                            <w:r w:rsidRPr="00D71C61">
                              <w:rPr>
                                <w:rFonts w:ascii="Arial" w:hAnsi="Arial" w:cs="Arial"/>
                                <w:color w:val="7F7F7F" w:themeColor="text1" w:themeTint="80"/>
                                <w:sz w:val="20"/>
                                <w:szCs w:val="20"/>
                              </w:rPr>
                              <w:t xml:space="preserve">This includes prioritising which </w:t>
                            </w:r>
                            <w:r w:rsidR="00486F21" w:rsidRPr="00486F21">
                              <w:rPr>
                                <w:rFonts w:ascii="Arial" w:hAnsi="Arial" w:cs="Arial"/>
                                <w:color w:val="7F7F7F" w:themeColor="text1" w:themeTint="80"/>
                                <w:sz w:val="20"/>
                                <w:szCs w:val="20"/>
                              </w:rPr>
                              <w:t xml:space="preserve">Environmental Social Governance </w:t>
                            </w:r>
                            <w:r w:rsidR="00486F21">
                              <w:rPr>
                                <w:rFonts w:ascii="Arial" w:hAnsi="Arial" w:cs="Arial"/>
                                <w:color w:val="7F7F7F" w:themeColor="text1" w:themeTint="80"/>
                                <w:sz w:val="20"/>
                                <w:szCs w:val="20"/>
                              </w:rPr>
                              <w:t>(“</w:t>
                            </w:r>
                            <w:r w:rsidRPr="00D71C61">
                              <w:rPr>
                                <w:rFonts w:ascii="Arial" w:hAnsi="Arial" w:cs="Arial"/>
                                <w:color w:val="7F7F7F" w:themeColor="text1" w:themeTint="80"/>
                                <w:sz w:val="20"/>
                                <w:szCs w:val="20"/>
                              </w:rPr>
                              <w:t>ESG</w:t>
                            </w:r>
                            <w:r w:rsidR="00486F21">
                              <w:rPr>
                                <w:rFonts w:ascii="Arial" w:hAnsi="Arial" w:cs="Arial"/>
                                <w:color w:val="7F7F7F" w:themeColor="text1" w:themeTint="80"/>
                                <w:sz w:val="20"/>
                                <w:szCs w:val="20"/>
                              </w:rPr>
                              <w:t>”)</w:t>
                            </w:r>
                            <w:r w:rsidRPr="00D71C61">
                              <w:rPr>
                                <w:rFonts w:ascii="Arial" w:hAnsi="Arial" w:cs="Arial"/>
                                <w:color w:val="7F7F7F" w:themeColor="text1" w:themeTint="80"/>
                                <w:sz w:val="20"/>
                                <w:szCs w:val="20"/>
                              </w:rPr>
                              <w:t xml:space="preserve"> issues to focus on, engaging with investees/issuers, and exercising voting rights. </w:t>
                            </w:r>
                          </w:p>
                          <w:p w14:paraId="66F13D2B" w14:textId="77777777" w:rsidR="000102F4" w:rsidRPr="00D71C61" w:rsidRDefault="000102F4" w:rsidP="000102F4">
                            <w:pPr>
                              <w:spacing w:after="60"/>
                              <w:rPr>
                                <w:rFonts w:ascii="Arial" w:hAnsi="Arial" w:cs="Arial"/>
                                <w:color w:val="7F7F7F" w:themeColor="text1" w:themeTint="80"/>
                                <w:sz w:val="20"/>
                                <w:szCs w:val="20"/>
                              </w:rPr>
                            </w:pPr>
                            <w:r w:rsidRPr="00D71C61">
                              <w:rPr>
                                <w:rFonts w:ascii="Arial" w:hAnsi="Arial" w:cs="Arial"/>
                                <w:color w:val="7F7F7F" w:themeColor="text1" w:themeTint="80"/>
                                <w:sz w:val="20"/>
                                <w:szCs w:val="20"/>
                              </w:rPr>
                              <w:t xml:space="preserve">Differing ownership structures means stewardship practices often differ between asset classes. </w:t>
                            </w:r>
                          </w:p>
                          <w:p w14:paraId="4FC47C07" w14:textId="77777777" w:rsidR="000102F4" w:rsidRPr="00D71C61" w:rsidRDefault="000102F4" w:rsidP="000102F4">
                            <w:pPr>
                              <w:spacing w:after="60"/>
                              <w:rPr>
                                <w:rFonts w:ascii="Arial" w:hAnsi="Arial" w:cs="Arial"/>
                                <w:i/>
                                <w:iCs/>
                                <w:color w:val="7F7F7F" w:themeColor="text1" w:themeTint="80"/>
                                <w:sz w:val="18"/>
                                <w:szCs w:val="18"/>
                              </w:rPr>
                            </w:pPr>
                            <w:r w:rsidRPr="00D71C61">
                              <w:rPr>
                                <w:rFonts w:ascii="Arial" w:hAnsi="Arial" w:cs="Arial"/>
                                <w:i/>
                                <w:iCs/>
                                <w:color w:val="7F7F7F" w:themeColor="text1" w:themeTint="80"/>
                                <w:sz w:val="18"/>
                                <w:szCs w:val="18"/>
                              </w:rPr>
                              <w:t>Source: UN PRI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0E27B" id="Rectangle 1" o:spid="_x0000_s1026" style="position:absolute;margin-left:377.95pt;margin-top:-.15pt;width:141.8pt;height:33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" fillcolor="#daebf1" stroked="f" strokeweight="1pt">
                <v:textbox>
                  <w:txbxContent>
                    <w:p w14:paraId="6E3EE64D" w14:textId="77777777" w:rsidR="000102F4" w:rsidRPr="00C67E9C" w:rsidRDefault="000102F4" w:rsidP="000102F4">
                      <w:pPr>
                        <w:rPr>
                          <w:rFonts w:ascii="Arial" w:hAnsi="Arial" w:cs="Arial"/>
                          <w:color w:val="0083A9"/>
                          <w:sz w:val="24"/>
                          <w:szCs w:val="24"/>
                        </w:rPr>
                      </w:pPr>
                      <w:r w:rsidRPr="00C67E9C">
                        <w:rPr>
                          <w:rFonts w:ascii="Arial" w:hAnsi="Arial" w:cs="Arial"/>
                          <w:color w:val="0083A9"/>
                          <w:sz w:val="24"/>
                          <w:szCs w:val="24"/>
                        </w:rPr>
                        <w:t>What is stewardship?</w:t>
                      </w:r>
                    </w:p>
                    <w:p w14:paraId="7E15FCBF" w14:textId="77777777" w:rsidR="000102F4" w:rsidRPr="00D71C61" w:rsidRDefault="000102F4" w:rsidP="000102F4">
                      <w:pPr>
                        <w:spacing w:after="60"/>
                        <w:rPr>
                          <w:rFonts w:ascii="Arial" w:hAnsi="Arial" w:cs="Arial"/>
                          <w:color w:val="7F7F7F" w:themeColor="text1" w:themeTint="80"/>
                          <w:sz w:val="20"/>
                          <w:szCs w:val="20"/>
                        </w:rPr>
                      </w:pPr>
                      <w:r w:rsidRPr="00D71C61">
                        <w:rPr>
                          <w:rFonts w:ascii="Arial" w:hAnsi="Arial" w:cs="Arial"/>
                          <w:color w:val="7F7F7F" w:themeColor="text1" w:themeTint="80"/>
                          <w:sz w:val="20"/>
                          <w:szCs w:val="20"/>
                        </w:rPr>
                        <w:t xml:space="preserve">Stewardship is investors using their influence over current or potential investees/issuers, policy makers, service providers and other stakeholders to create long-term value for clients and beneficiaries leading to sustainable benefits for the economy, the environment and society. </w:t>
                      </w:r>
                    </w:p>
                    <w:p w14:paraId="2C8E376E" w14:textId="738BBC71" w:rsidR="000102F4" w:rsidRPr="00D71C61" w:rsidRDefault="000102F4" w:rsidP="000102F4">
                      <w:pPr>
                        <w:spacing w:after="60"/>
                        <w:rPr>
                          <w:rFonts w:ascii="Arial" w:hAnsi="Arial" w:cs="Arial"/>
                          <w:color w:val="7F7F7F" w:themeColor="text1" w:themeTint="80"/>
                          <w:sz w:val="20"/>
                          <w:szCs w:val="20"/>
                        </w:rPr>
                      </w:pPr>
                      <w:r w:rsidRPr="00D71C61">
                        <w:rPr>
                          <w:rFonts w:ascii="Arial" w:hAnsi="Arial" w:cs="Arial"/>
                          <w:color w:val="7F7F7F" w:themeColor="text1" w:themeTint="80"/>
                          <w:sz w:val="20"/>
                          <w:szCs w:val="20"/>
                        </w:rPr>
                        <w:t xml:space="preserve">This includes prioritising which </w:t>
                      </w:r>
                      <w:r w:rsidR="00486F21" w:rsidRPr="00486F21">
                        <w:rPr>
                          <w:rFonts w:ascii="Arial" w:hAnsi="Arial" w:cs="Arial"/>
                          <w:color w:val="7F7F7F" w:themeColor="text1" w:themeTint="80"/>
                          <w:sz w:val="20"/>
                          <w:szCs w:val="20"/>
                        </w:rPr>
                        <w:t xml:space="preserve">Environmental Social Governance </w:t>
                      </w:r>
                      <w:r w:rsidR="00486F21">
                        <w:rPr>
                          <w:rFonts w:ascii="Arial" w:hAnsi="Arial" w:cs="Arial"/>
                          <w:color w:val="7F7F7F" w:themeColor="text1" w:themeTint="80"/>
                          <w:sz w:val="20"/>
                          <w:szCs w:val="20"/>
                        </w:rPr>
                        <w:t>(“</w:t>
                      </w:r>
                      <w:r w:rsidRPr="00D71C61">
                        <w:rPr>
                          <w:rFonts w:ascii="Arial" w:hAnsi="Arial" w:cs="Arial"/>
                          <w:color w:val="7F7F7F" w:themeColor="text1" w:themeTint="80"/>
                          <w:sz w:val="20"/>
                          <w:szCs w:val="20"/>
                        </w:rPr>
                        <w:t>ESG</w:t>
                      </w:r>
                      <w:r w:rsidR="00486F21">
                        <w:rPr>
                          <w:rFonts w:ascii="Arial" w:hAnsi="Arial" w:cs="Arial"/>
                          <w:color w:val="7F7F7F" w:themeColor="text1" w:themeTint="80"/>
                          <w:sz w:val="20"/>
                          <w:szCs w:val="20"/>
                        </w:rPr>
                        <w:t>”)</w:t>
                      </w:r>
                      <w:r w:rsidRPr="00D71C61">
                        <w:rPr>
                          <w:rFonts w:ascii="Arial" w:hAnsi="Arial" w:cs="Arial"/>
                          <w:color w:val="7F7F7F" w:themeColor="text1" w:themeTint="80"/>
                          <w:sz w:val="20"/>
                          <w:szCs w:val="20"/>
                        </w:rPr>
                        <w:t xml:space="preserve"> issues to focus on, engaging with investees/issuers, and exercising voting rights. </w:t>
                      </w:r>
                    </w:p>
                    <w:p w14:paraId="66F13D2B" w14:textId="77777777" w:rsidR="000102F4" w:rsidRPr="00D71C61" w:rsidRDefault="000102F4" w:rsidP="000102F4">
                      <w:pPr>
                        <w:spacing w:after="60"/>
                        <w:rPr>
                          <w:rFonts w:ascii="Arial" w:hAnsi="Arial" w:cs="Arial"/>
                          <w:color w:val="7F7F7F" w:themeColor="text1" w:themeTint="80"/>
                          <w:sz w:val="20"/>
                          <w:szCs w:val="20"/>
                        </w:rPr>
                      </w:pPr>
                      <w:r w:rsidRPr="00D71C61">
                        <w:rPr>
                          <w:rFonts w:ascii="Arial" w:hAnsi="Arial" w:cs="Arial"/>
                          <w:color w:val="7F7F7F" w:themeColor="text1" w:themeTint="80"/>
                          <w:sz w:val="20"/>
                          <w:szCs w:val="20"/>
                        </w:rPr>
                        <w:t xml:space="preserve">Differing ownership structures means stewardship practices often differ between asset classes. </w:t>
                      </w:r>
                    </w:p>
                    <w:p w14:paraId="4FC47C07" w14:textId="77777777" w:rsidR="000102F4" w:rsidRPr="00D71C61" w:rsidRDefault="000102F4" w:rsidP="000102F4">
                      <w:pPr>
                        <w:spacing w:after="60"/>
                        <w:rPr>
                          <w:rFonts w:ascii="Arial" w:hAnsi="Arial" w:cs="Arial"/>
                          <w:i/>
                          <w:iCs/>
                          <w:color w:val="7F7F7F" w:themeColor="text1" w:themeTint="80"/>
                          <w:sz w:val="18"/>
                          <w:szCs w:val="18"/>
                        </w:rPr>
                      </w:pPr>
                      <w:r w:rsidRPr="00D71C61">
                        <w:rPr>
                          <w:rFonts w:ascii="Arial" w:hAnsi="Arial" w:cs="Arial"/>
                          <w:i/>
                          <w:iCs/>
                          <w:color w:val="7F7F7F" w:themeColor="text1" w:themeTint="80"/>
                          <w:sz w:val="18"/>
                          <w:szCs w:val="18"/>
                        </w:rPr>
                        <w:t>Source: UN PRI</w:t>
                      </w:r>
                    </w:p>
                  </w:txbxContent>
                </v:textbox>
                <w10:wrap anchorx="margin"/>
              </v:rect>
            </w:pict>
          </mc:Fallback>
        </mc:AlternateContent>
      </w:r>
      <w:r w:rsidR="008C6E6A" w:rsidRPr="00CD0B21">
        <w:rPr>
          <w:rFonts w:ascii="Arial" w:hAnsi="Arial" w:cs="Arial"/>
          <w:sz w:val="28"/>
          <w:szCs w:val="28"/>
        </w:rPr>
        <w:t>How engagement policies have been</w:t>
      </w:r>
      <w:r w:rsidR="00F525A6">
        <w:rPr>
          <w:rFonts w:ascii="Arial" w:hAnsi="Arial" w:cs="Arial"/>
          <w:sz w:val="28"/>
          <w:szCs w:val="28"/>
        </w:rPr>
        <w:t xml:space="preserve"> </w:t>
      </w:r>
      <w:r w:rsidR="008C6E6A" w:rsidRPr="00CD0B21">
        <w:rPr>
          <w:rFonts w:ascii="Arial" w:hAnsi="Arial" w:cs="Arial"/>
          <w:sz w:val="28"/>
          <w:szCs w:val="28"/>
        </w:rPr>
        <w:t>followed</w:t>
      </w:r>
    </w:p>
    <w:p w14:paraId="09F51BB9" w14:textId="65A5B3F8" w:rsidR="007E2AD1" w:rsidRPr="005D06F1" w:rsidRDefault="007E2AD1" w:rsidP="00C609FB">
      <w:pPr>
        <w:spacing w:after="0" w:line="252" w:lineRule="auto"/>
        <w:ind w:right="49"/>
        <w:rPr>
          <w:rFonts w:ascii="Arial" w:hAnsi="Arial" w:cs="Arial"/>
          <w:sz w:val="20"/>
          <w:szCs w:val="20"/>
        </w:rPr>
      </w:pPr>
      <w:r w:rsidRPr="005D06F1">
        <w:rPr>
          <w:rFonts w:ascii="Arial" w:hAnsi="Arial" w:cs="Arial"/>
          <w:sz w:val="20"/>
          <w:szCs w:val="20"/>
        </w:rPr>
        <w:t xml:space="preserve">The Scheme is invested </w:t>
      </w:r>
      <w:r w:rsidR="00AA1753" w:rsidRPr="005D06F1">
        <w:rPr>
          <w:rFonts w:ascii="Arial" w:hAnsi="Arial" w:cs="Arial"/>
          <w:sz w:val="20"/>
          <w:szCs w:val="20"/>
        </w:rPr>
        <w:t>mostly</w:t>
      </w:r>
      <w:r w:rsidRPr="005D06F1">
        <w:rPr>
          <w:rFonts w:ascii="Arial" w:hAnsi="Arial" w:cs="Arial"/>
          <w:sz w:val="20"/>
          <w:szCs w:val="20"/>
        </w:rPr>
        <w:t xml:space="preserve"> in pooled funds, and so the responsibility for engagement </w:t>
      </w:r>
      <w:r w:rsidR="00B40461" w:rsidRPr="005D06F1">
        <w:rPr>
          <w:rFonts w:ascii="Arial" w:hAnsi="Arial" w:cs="Arial"/>
          <w:sz w:val="20"/>
          <w:szCs w:val="20"/>
        </w:rPr>
        <w:t xml:space="preserve">is delegated </w:t>
      </w:r>
      <w:r w:rsidRPr="005D06F1">
        <w:rPr>
          <w:rFonts w:ascii="Arial" w:hAnsi="Arial" w:cs="Arial"/>
          <w:sz w:val="20"/>
          <w:szCs w:val="20"/>
        </w:rPr>
        <w:t xml:space="preserve">to </w:t>
      </w:r>
      <w:r w:rsidR="00B40461" w:rsidRPr="005D06F1">
        <w:rPr>
          <w:rFonts w:ascii="Arial" w:hAnsi="Arial" w:cs="Arial"/>
          <w:sz w:val="20"/>
          <w:szCs w:val="20"/>
        </w:rPr>
        <w:t xml:space="preserve">the Scheme’s </w:t>
      </w:r>
      <w:r w:rsidRPr="005D06F1">
        <w:rPr>
          <w:rFonts w:ascii="Arial" w:hAnsi="Arial" w:cs="Arial"/>
          <w:sz w:val="20"/>
          <w:szCs w:val="20"/>
        </w:rPr>
        <w:t>investment managers</w:t>
      </w:r>
      <w:r w:rsidR="002F3D79" w:rsidRPr="005D06F1">
        <w:rPr>
          <w:rFonts w:ascii="Arial" w:hAnsi="Arial" w:cs="Arial"/>
          <w:sz w:val="20"/>
          <w:szCs w:val="20"/>
        </w:rPr>
        <w:t xml:space="preserve">, which is in line </w:t>
      </w:r>
      <w:r w:rsidR="00A015AA" w:rsidRPr="005D06F1">
        <w:rPr>
          <w:rFonts w:ascii="Arial" w:hAnsi="Arial" w:cs="Arial"/>
          <w:sz w:val="20"/>
          <w:szCs w:val="20"/>
        </w:rPr>
        <w:t xml:space="preserve">with </w:t>
      </w:r>
      <w:r w:rsidR="004A44E7">
        <w:rPr>
          <w:rFonts w:ascii="Arial" w:hAnsi="Arial" w:cs="Arial"/>
          <w:sz w:val="20"/>
          <w:szCs w:val="20"/>
        </w:rPr>
        <w:t>our</w:t>
      </w:r>
      <w:r w:rsidR="00A015AA" w:rsidRPr="005D06F1">
        <w:rPr>
          <w:rFonts w:ascii="Arial" w:hAnsi="Arial" w:cs="Arial"/>
          <w:sz w:val="20"/>
          <w:szCs w:val="20"/>
        </w:rPr>
        <w:t xml:space="preserve"> polic</w:t>
      </w:r>
      <w:r w:rsidR="00AA1753" w:rsidRPr="005D06F1">
        <w:rPr>
          <w:rFonts w:ascii="Arial" w:hAnsi="Arial" w:cs="Arial"/>
          <w:sz w:val="20"/>
          <w:szCs w:val="20"/>
        </w:rPr>
        <w:t>y.</w:t>
      </w:r>
      <w:r w:rsidR="00A015AA" w:rsidRPr="005D06F1">
        <w:rPr>
          <w:rFonts w:ascii="Arial" w:hAnsi="Arial" w:cs="Arial"/>
          <w:sz w:val="20"/>
          <w:szCs w:val="20"/>
        </w:rPr>
        <w:t xml:space="preserve"> </w:t>
      </w:r>
      <w:r w:rsidR="00C91146" w:rsidRPr="00C91146">
        <w:rPr>
          <w:rFonts w:ascii="Arial" w:hAnsi="Arial" w:cs="Arial"/>
          <w:sz w:val="20"/>
          <w:szCs w:val="20"/>
        </w:rPr>
        <w:t>We reviewed the stewardship activity of the material investment managers carried out over the Scheme year and in our view, most of the investment managers were able to disclose adequate evidence of engagement activity.</w:t>
      </w:r>
      <w:r w:rsidR="00DA72A1" w:rsidRPr="005D06F1">
        <w:rPr>
          <w:rFonts w:ascii="Arial" w:hAnsi="Arial" w:cs="Arial"/>
          <w:sz w:val="20"/>
          <w:szCs w:val="20"/>
        </w:rPr>
        <w:t xml:space="preserve"> </w:t>
      </w:r>
      <w:r w:rsidR="008C6E6A" w:rsidRPr="005D06F1">
        <w:rPr>
          <w:rFonts w:ascii="Arial" w:hAnsi="Arial" w:cs="Arial"/>
          <w:sz w:val="20"/>
          <w:szCs w:val="20"/>
        </w:rPr>
        <w:t>More information on the stewardship activity carried ou</w:t>
      </w:r>
      <w:r w:rsidR="00A166B2" w:rsidRPr="005D06F1">
        <w:rPr>
          <w:rFonts w:ascii="Arial" w:hAnsi="Arial" w:cs="Arial"/>
          <w:sz w:val="20"/>
          <w:szCs w:val="20"/>
        </w:rPr>
        <w:t>t</w:t>
      </w:r>
      <w:r w:rsidR="008C6E6A" w:rsidRPr="005D06F1">
        <w:rPr>
          <w:rFonts w:ascii="Arial" w:hAnsi="Arial" w:cs="Arial"/>
          <w:sz w:val="20"/>
          <w:szCs w:val="20"/>
        </w:rPr>
        <w:t xml:space="preserve"> by the Scheme’s investment managers can be found in the follow</w:t>
      </w:r>
      <w:r w:rsidR="00A166B2" w:rsidRPr="005D06F1">
        <w:rPr>
          <w:rFonts w:ascii="Arial" w:hAnsi="Arial" w:cs="Arial"/>
          <w:sz w:val="20"/>
          <w:szCs w:val="20"/>
        </w:rPr>
        <w:t>ing</w:t>
      </w:r>
      <w:r w:rsidR="008C6E6A" w:rsidRPr="005D06F1">
        <w:rPr>
          <w:rFonts w:ascii="Arial" w:hAnsi="Arial" w:cs="Arial"/>
          <w:sz w:val="20"/>
          <w:szCs w:val="20"/>
        </w:rPr>
        <w:t xml:space="preserve"> sections</w:t>
      </w:r>
      <w:r w:rsidR="000B7EB2" w:rsidRPr="005D06F1">
        <w:rPr>
          <w:rFonts w:ascii="Arial" w:hAnsi="Arial" w:cs="Arial"/>
          <w:sz w:val="20"/>
          <w:szCs w:val="20"/>
        </w:rPr>
        <w:t xml:space="preserve"> of this report</w:t>
      </w:r>
      <w:r w:rsidR="008C6E6A" w:rsidRPr="005D06F1">
        <w:rPr>
          <w:rFonts w:ascii="Arial" w:hAnsi="Arial" w:cs="Arial"/>
          <w:sz w:val="20"/>
          <w:szCs w:val="20"/>
        </w:rPr>
        <w:t xml:space="preserve">. </w:t>
      </w:r>
    </w:p>
    <w:p w14:paraId="634B253D" w14:textId="79C01B5B" w:rsidR="007E2AD1" w:rsidRPr="00C93393" w:rsidRDefault="007E2AD1" w:rsidP="008066D6">
      <w:pPr>
        <w:spacing w:after="0" w:line="252" w:lineRule="auto"/>
        <w:rPr>
          <w:rFonts w:ascii="Arial" w:hAnsi="Arial" w:cs="Arial"/>
          <w:sz w:val="20"/>
          <w:szCs w:val="20"/>
          <w:highlight w:val="lightGray"/>
        </w:rPr>
      </w:pPr>
    </w:p>
    <w:p w14:paraId="274B0782" w14:textId="0C1BC734" w:rsidR="00A166B2" w:rsidRPr="00DF54BF" w:rsidRDefault="00A166B2" w:rsidP="00C609FB">
      <w:pPr>
        <w:spacing w:after="0" w:line="252" w:lineRule="auto"/>
        <w:rPr>
          <w:rFonts w:ascii="Arial" w:hAnsi="Arial" w:cs="Arial"/>
          <w:sz w:val="20"/>
          <w:szCs w:val="20"/>
        </w:rPr>
      </w:pPr>
      <w:r w:rsidRPr="00DF54BF">
        <w:rPr>
          <w:rFonts w:ascii="Arial" w:hAnsi="Arial" w:cs="Arial"/>
          <w:sz w:val="20"/>
          <w:szCs w:val="20"/>
        </w:rPr>
        <w:t xml:space="preserve">Over the </w:t>
      </w:r>
      <w:r w:rsidR="002D244B" w:rsidRPr="00DF54BF">
        <w:rPr>
          <w:rFonts w:ascii="Arial" w:hAnsi="Arial" w:cs="Arial"/>
          <w:sz w:val="20"/>
          <w:szCs w:val="20"/>
        </w:rPr>
        <w:t xml:space="preserve">reporting </w:t>
      </w:r>
      <w:r w:rsidRPr="00DF54BF">
        <w:rPr>
          <w:rFonts w:ascii="Arial" w:hAnsi="Arial" w:cs="Arial"/>
          <w:sz w:val="20"/>
          <w:szCs w:val="20"/>
        </w:rPr>
        <w:t>year</w:t>
      </w:r>
      <w:r w:rsidR="00B40461" w:rsidRPr="00DF54BF">
        <w:rPr>
          <w:rFonts w:ascii="Arial" w:hAnsi="Arial" w:cs="Arial"/>
          <w:sz w:val="20"/>
          <w:szCs w:val="20"/>
        </w:rPr>
        <w:t>,</w:t>
      </w:r>
      <w:r w:rsidRPr="00DF54BF">
        <w:rPr>
          <w:rFonts w:ascii="Arial" w:hAnsi="Arial" w:cs="Arial"/>
          <w:sz w:val="20"/>
          <w:szCs w:val="20"/>
        </w:rPr>
        <w:t xml:space="preserve"> </w:t>
      </w:r>
      <w:r w:rsidR="00B40461" w:rsidRPr="00DF54BF">
        <w:rPr>
          <w:rFonts w:ascii="Arial" w:hAnsi="Arial" w:cs="Arial"/>
          <w:sz w:val="20"/>
          <w:szCs w:val="20"/>
        </w:rPr>
        <w:t xml:space="preserve">we monitored </w:t>
      </w:r>
      <w:r w:rsidRPr="00DF54BF">
        <w:rPr>
          <w:rFonts w:ascii="Arial" w:hAnsi="Arial" w:cs="Arial"/>
          <w:sz w:val="20"/>
          <w:szCs w:val="20"/>
        </w:rPr>
        <w:t>the performance of the</w:t>
      </w:r>
      <w:r w:rsidR="00B40461" w:rsidRPr="00DF54BF">
        <w:rPr>
          <w:rFonts w:ascii="Arial" w:hAnsi="Arial" w:cs="Arial"/>
          <w:sz w:val="20"/>
          <w:szCs w:val="20"/>
        </w:rPr>
        <w:t xml:space="preserve"> Scheme’s</w:t>
      </w:r>
      <w:r w:rsidRPr="00DF54BF">
        <w:rPr>
          <w:rFonts w:ascii="Arial" w:hAnsi="Arial" w:cs="Arial"/>
          <w:sz w:val="20"/>
          <w:szCs w:val="20"/>
        </w:rPr>
        <w:t xml:space="preserve"> </w:t>
      </w:r>
      <w:r w:rsidR="00B40461" w:rsidRPr="00DF54BF">
        <w:rPr>
          <w:rFonts w:ascii="Arial" w:hAnsi="Arial" w:cs="Arial"/>
          <w:sz w:val="20"/>
          <w:szCs w:val="20"/>
        </w:rPr>
        <w:t xml:space="preserve">investments on a quarterly basis </w:t>
      </w:r>
      <w:r w:rsidRPr="00DF54BF">
        <w:rPr>
          <w:rFonts w:ascii="Arial" w:hAnsi="Arial" w:cs="Arial"/>
          <w:sz w:val="20"/>
          <w:szCs w:val="20"/>
        </w:rPr>
        <w:t>and receive</w:t>
      </w:r>
      <w:r w:rsidR="002D244B" w:rsidRPr="00DF54BF">
        <w:rPr>
          <w:rFonts w:ascii="Arial" w:hAnsi="Arial" w:cs="Arial"/>
          <w:sz w:val="20"/>
          <w:szCs w:val="20"/>
        </w:rPr>
        <w:t>d</w:t>
      </w:r>
      <w:r w:rsidRPr="00DF54BF">
        <w:rPr>
          <w:rFonts w:ascii="Arial" w:hAnsi="Arial" w:cs="Arial"/>
          <w:sz w:val="20"/>
          <w:szCs w:val="20"/>
        </w:rPr>
        <w:t xml:space="preserve"> updates on important issues from </w:t>
      </w:r>
      <w:r w:rsidR="00B40461" w:rsidRPr="00DF54BF">
        <w:rPr>
          <w:rFonts w:ascii="Arial" w:hAnsi="Arial" w:cs="Arial"/>
          <w:sz w:val="20"/>
          <w:szCs w:val="20"/>
        </w:rPr>
        <w:t xml:space="preserve">our </w:t>
      </w:r>
      <w:r w:rsidR="00AA1753" w:rsidRPr="00DF54BF">
        <w:rPr>
          <w:rFonts w:ascii="Arial" w:hAnsi="Arial" w:cs="Arial"/>
          <w:sz w:val="20"/>
          <w:szCs w:val="20"/>
        </w:rPr>
        <w:t xml:space="preserve">fiduciary manager, State Street Global Advisers (“SSGA”), and </w:t>
      </w:r>
      <w:r w:rsidRPr="00DF54BF">
        <w:rPr>
          <w:rFonts w:ascii="Arial" w:hAnsi="Arial" w:cs="Arial"/>
          <w:sz w:val="20"/>
          <w:szCs w:val="20"/>
        </w:rPr>
        <w:t>investment adviser, Aon</w:t>
      </w:r>
      <w:r w:rsidR="00B7177F" w:rsidRPr="00DF54BF">
        <w:rPr>
          <w:rFonts w:ascii="Arial" w:hAnsi="Arial" w:cs="Arial"/>
          <w:sz w:val="20"/>
          <w:szCs w:val="20"/>
        </w:rPr>
        <w:t xml:space="preserve"> Investments Limited (“A</w:t>
      </w:r>
      <w:r w:rsidR="009B15E7" w:rsidRPr="00DF54BF">
        <w:rPr>
          <w:rFonts w:ascii="Arial" w:hAnsi="Arial" w:cs="Arial"/>
          <w:sz w:val="20"/>
          <w:szCs w:val="20"/>
        </w:rPr>
        <w:t>on</w:t>
      </w:r>
      <w:r w:rsidR="00B7177F" w:rsidRPr="00DF54BF">
        <w:rPr>
          <w:rFonts w:ascii="Arial" w:hAnsi="Arial" w:cs="Arial"/>
          <w:sz w:val="20"/>
          <w:szCs w:val="20"/>
        </w:rPr>
        <w:t>”)</w:t>
      </w:r>
      <w:r w:rsidRPr="00DF54BF">
        <w:rPr>
          <w:rFonts w:ascii="Arial" w:hAnsi="Arial" w:cs="Arial"/>
          <w:sz w:val="20"/>
          <w:szCs w:val="20"/>
        </w:rPr>
        <w:t xml:space="preserve">. </w:t>
      </w:r>
    </w:p>
    <w:p w14:paraId="46D95411" w14:textId="77777777" w:rsidR="00C91146" w:rsidRPr="00DF54BF" w:rsidRDefault="00C91146" w:rsidP="00C91146">
      <w:pPr>
        <w:spacing w:after="0" w:line="252" w:lineRule="auto"/>
        <w:rPr>
          <w:rFonts w:ascii="Arial" w:hAnsi="Arial" w:cs="Arial"/>
          <w:sz w:val="20"/>
          <w:szCs w:val="20"/>
        </w:rPr>
      </w:pPr>
    </w:p>
    <w:p w14:paraId="529E1094" w14:textId="080E9C6D" w:rsidR="00C91146" w:rsidRPr="00DF54BF" w:rsidRDefault="00C91146" w:rsidP="00C91146">
      <w:pPr>
        <w:spacing w:after="0" w:line="252" w:lineRule="auto"/>
        <w:rPr>
          <w:rFonts w:ascii="Arial" w:hAnsi="Arial" w:cs="Arial"/>
          <w:sz w:val="20"/>
          <w:szCs w:val="20"/>
        </w:rPr>
      </w:pPr>
      <w:r w:rsidRPr="00DF54BF">
        <w:rPr>
          <w:rFonts w:ascii="Arial" w:hAnsi="Arial" w:cs="Arial"/>
          <w:sz w:val="20"/>
          <w:szCs w:val="20"/>
        </w:rPr>
        <w:t>Each year, we review the engagement policies of the Scheme’s investment managers to ensure they align with our own policies for the Scheme and help us to achieve them.</w:t>
      </w:r>
    </w:p>
    <w:p w14:paraId="250A3F3F" w14:textId="77777777" w:rsidR="0034396E" w:rsidRPr="00DF54BF" w:rsidRDefault="0034396E" w:rsidP="00C609FB">
      <w:pPr>
        <w:spacing w:after="0" w:line="252" w:lineRule="auto"/>
        <w:rPr>
          <w:rFonts w:ascii="Arial" w:hAnsi="Arial" w:cs="Arial"/>
          <w:sz w:val="20"/>
          <w:szCs w:val="20"/>
        </w:rPr>
      </w:pPr>
    </w:p>
    <w:p w14:paraId="5835F0EE" w14:textId="388BB901" w:rsidR="001F00D6" w:rsidRDefault="007E2AD1" w:rsidP="00C609FB">
      <w:pPr>
        <w:spacing w:after="0" w:line="252" w:lineRule="auto"/>
        <w:rPr>
          <w:rFonts w:ascii="Arial" w:hAnsi="Arial" w:cs="Arial"/>
          <w:sz w:val="20"/>
          <w:szCs w:val="20"/>
        </w:rPr>
      </w:pPr>
      <w:r w:rsidRPr="00DF54BF">
        <w:rPr>
          <w:rFonts w:ascii="Arial" w:hAnsi="Arial" w:cs="Arial"/>
          <w:sz w:val="20"/>
          <w:szCs w:val="20"/>
        </w:rPr>
        <w:t>The Scheme’s stewardship policy can be found in the SIP</w:t>
      </w:r>
      <w:r w:rsidR="001E24F5" w:rsidRPr="00DF54BF">
        <w:rPr>
          <w:rFonts w:ascii="Arial" w:hAnsi="Arial" w:cs="Arial"/>
          <w:sz w:val="20"/>
          <w:szCs w:val="20"/>
        </w:rPr>
        <w:t xml:space="preserve">, which can be accessed </w:t>
      </w:r>
      <w:hyperlink r:id="rId10" w:history="1">
        <w:r w:rsidR="001E24F5" w:rsidRPr="00241392">
          <w:rPr>
            <w:rStyle w:val="Hyperlink"/>
            <w:rFonts w:ascii="Arial" w:hAnsi="Arial" w:cs="Arial"/>
            <w:color w:val="auto"/>
            <w:sz w:val="20"/>
            <w:szCs w:val="20"/>
          </w:rPr>
          <w:t>here</w:t>
        </w:r>
        <w:r w:rsidRPr="00241392">
          <w:rPr>
            <w:rStyle w:val="Hyperlink"/>
            <w:rFonts w:ascii="Arial" w:hAnsi="Arial" w:cs="Arial"/>
            <w:color w:val="auto"/>
            <w:sz w:val="20"/>
            <w:szCs w:val="20"/>
          </w:rPr>
          <w:t xml:space="preserve"> </w:t>
        </w:r>
      </w:hyperlink>
      <w:r w:rsidR="001E24F5" w:rsidRPr="00241392">
        <w:rPr>
          <w:rFonts w:ascii="Arial" w:hAnsi="Arial" w:cs="Arial"/>
          <w:sz w:val="20"/>
          <w:szCs w:val="20"/>
        </w:rPr>
        <w:t>https://www.mygepension.com/assets/uploads/GE-Energy-Pension-Scheme-SIP.</w:t>
      </w:r>
      <w:r w:rsidR="001F00D6" w:rsidRPr="00DF54BF">
        <w:rPr>
          <w:rFonts w:ascii="Arial" w:hAnsi="Arial" w:cs="Arial"/>
          <w:sz w:val="20"/>
          <w:szCs w:val="20"/>
        </w:rPr>
        <w:t xml:space="preserve"> </w:t>
      </w:r>
    </w:p>
    <w:p w14:paraId="1D588137" w14:textId="59DF5E30" w:rsidR="006338B1" w:rsidRDefault="006338B1" w:rsidP="00C609FB">
      <w:pPr>
        <w:spacing w:after="0" w:line="252" w:lineRule="auto"/>
        <w:rPr>
          <w:rFonts w:ascii="Arial" w:hAnsi="Arial" w:cs="Arial"/>
          <w:sz w:val="20"/>
          <w:szCs w:val="20"/>
        </w:rPr>
      </w:pPr>
    </w:p>
    <w:p w14:paraId="692D3DDD" w14:textId="77777777" w:rsidR="00C12FC5" w:rsidRDefault="00C12FC5" w:rsidP="00C609FB">
      <w:pPr>
        <w:spacing w:after="0" w:line="252" w:lineRule="auto"/>
        <w:rPr>
          <w:rFonts w:ascii="Arial" w:hAnsi="Arial" w:cs="Arial"/>
          <w:sz w:val="20"/>
          <w:szCs w:val="20"/>
        </w:rPr>
      </w:pPr>
    </w:p>
    <w:p w14:paraId="366B855F" w14:textId="39742091" w:rsidR="00517D01" w:rsidRPr="00517D01" w:rsidRDefault="00517D01" w:rsidP="00C609FB">
      <w:pPr>
        <w:spacing w:line="252" w:lineRule="auto"/>
        <w:ind w:right="49"/>
        <w:rPr>
          <w:rFonts w:ascii="Arial" w:hAnsi="Arial" w:cs="Arial"/>
          <w:sz w:val="28"/>
          <w:szCs w:val="28"/>
        </w:rPr>
      </w:pPr>
      <w:r w:rsidRPr="00517D01">
        <w:rPr>
          <w:rFonts w:ascii="Arial" w:hAnsi="Arial" w:cs="Arial"/>
          <w:sz w:val="28"/>
          <w:szCs w:val="28"/>
        </w:rPr>
        <w:t>Our Engagement Action Plan</w:t>
      </w:r>
    </w:p>
    <w:p w14:paraId="10DDD0F2" w14:textId="1102EE84" w:rsidR="0039363F" w:rsidRDefault="00555F51" w:rsidP="00CB61CD">
      <w:pPr>
        <w:spacing w:after="0" w:line="252" w:lineRule="auto"/>
        <w:rPr>
          <w:rFonts w:ascii="Arial" w:hAnsi="Arial" w:cs="Arial"/>
          <w:sz w:val="20"/>
          <w:szCs w:val="20"/>
        </w:rPr>
      </w:pPr>
      <w:r w:rsidRPr="00555F51">
        <w:rPr>
          <w:rFonts w:ascii="Arial" w:hAnsi="Arial" w:cs="Arial"/>
          <w:sz w:val="20"/>
          <w:szCs w:val="20"/>
        </w:rPr>
        <w:t>State Street as our fiduciary manager will continue to engage with our investment managers to get a better understanding of their engagement practices</w:t>
      </w:r>
      <w:r w:rsidR="0034396E" w:rsidRPr="0034396E">
        <w:rPr>
          <w:rFonts w:ascii="Arial" w:hAnsi="Arial" w:cs="Arial"/>
          <w:sz w:val="20"/>
          <w:szCs w:val="20"/>
        </w:rPr>
        <w:t>, and how these help us fulfil our Responsible Investment policies. We will also encourage our managers to improve the quality and completeness of their reporting on engagement where possible.</w:t>
      </w:r>
    </w:p>
    <w:p w14:paraId="6DD787D4" w14:textId="29AF0D73" w:rsidR="00326EF0" w:rsidRDefault="00326EF0" w:rsidP="00C12FC5">
      <w:pPr>
        <w:spacing w:after="0" w:line="252" w:lineRule="auto"/>
        <w:rPr>
          <w:rFonts w:ascii="Arial" w:hAnsi="Arial" w:cs="Arial"/>
          <w:sz w:val="20"/>
          <w:szCs w:val="20"/>
        </w:rPr>
      </w:pPr>
    </w:p>
    <w:p w14:paraId="4432CAD2" w14:textId="3884FB9F" w:rsidR="00326EF0" w:rsidRPr="00D71C61" w:rsidRDefault="004A44E7" w:rsidP="00B64EFF">
      <w:pPr>
        <w:spacing w:after="0" w:line="252" w:lineRule="auto"/>
        <w:rPr>
          <w:rFonts w:ascii="Arial" w:hAnsi="Arial" w:cs="Arial"/>
          <w:sz w:val="20"/>
          <w:szCs w:val="20"/>
        </w:rPr>
      </w:pPr>
      <w:r w:rsidRPr="00326EF0">
        <w:rPr>
          <w:rFonts w:ascii="Arial" w:hAnsi="Arial" w:cs="Arial"/>
          <w:noProof/>
          <w:sz w:val="20"/>
          <w:szCs w:val="20"/>
        </w:rPr>
        <mc:AlternateContent>
          <mc:Choice Requires="wps">
            <w:drawing>
              <wp:anchor distT="0" distB="0" distL="114300" distR="114300" simplePos="0" relativeHeight="251663360" behindDoc="0" locked="0" layoutInCell="1" allowOverlap="1" wp14:anchorId="41048D2C" wp14:editId="573BC440">
                <wp:simplePos x="0" y="0"/>
                <wp:positionH relativeFrom="margin">
                  <wp:posOffset>4801870</wp:posOffset>
                </wp:positionH>
                <wp:positionV relativeFrom="paragraph">
                  <wp:posOffset>101600</wp:posOffset>
                </wp:positionV>
                <wp:extent cx="1800860" cy="3242310"/>
                <wp:effectExtent l="0" t="0" r="8890" b="0"/>
                <wp:wrapNone/>
                <wp:docPr id="5" name="Rectangle 5"/>
                <wp:cNvGraphicFramePr/>
                <a:graphic xmlns:a="http://schemas.openxmlformats.org/drawingml/2006/main">
                  <a:graphicData uri="http://schemas.microsoft.com/office/word/2010/wordprocessingShape">
                    <wps:wsp>
                      <wps:cNvSpPr/>
                      <wps:spPr>
                        <a:xfrm>
                          <a:off x="0" y="0"/>
                          <a:ext cx="1800860" cy="3242310"/>
                        </a:xfrm>
                        <a:prstGeom prst="rect">
                          <a:avLst/>
                        </a:prstGeom>
                        <a:solidFill>
                          <a:srgbClr val="DAEBF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8004C9" w14:textId="77777777" w:rsidR="00223472" w:rsidRPr="00C67E9C" w:rsidRDefault="00223472" w:rsidP="00223472">
                            <w:pPr>
                              <w:rPr>
                                <w:rFonts w:ascii="Arial" w:hAnsi="Arial" w:cs="Arial"/>
                                <w:color w:val="0083A9"/>
                                <w:sz w:val="24"/>
                                <w:szCs w:val="24"/>
                              </w:rPr>
                            </w:pPr>
                            <w:r w:rsidRPr="00C67E9C">
                              <w:rPr>
                                <w:rFonts w:ascii="Arial" w:hAnsi="Arial" w:cs="Arial"/>
                                <w:color w:val="0083A9"/>
                                <w:sz w:val="24"/>
                                <w:szCs w:val="24"/>
                              </w:rPr>
                              <w:t xml:space="preserve">What is </w:t>
                            </w:r>
                            <w:r>
                              <w:rPr>
                                <w:rFonts w:ascii="Arial" w:hAnsi="Arial" w:cs="Arial"/>
                                <w:color w:val="0083A9"/>
                                <w:sz w:val="24"/>
                                <w:szCs w:val="24"/>
                              </w:rPr>
                              <w:t>fiduciary management</w:t>
                            </w:r>
                            <w:r w:rsidRPr="00C67E9C">
                              <w:rPr>
                                <w:rFonts w:ascii="Arial" w:hAnsi="Arial" w:cs="Arial"/>
                                <w:color w:val="0083A9"/>
                                <w:sz w:val="24"/>
                                <w:szCs w:val="24"/>
                              </w:rPr>
                              <w:t>?</w:t>
                            </w:r>
                          </w:p>
                          <w:p w14:paraId="52446211" w14:textId="77777777" w:rsidR="00223472" w:rsidRDefault="00223472" w:rsidP="00223472">
                            <w:pPr>
                              <w:spacing w:after="60"/>
                              <w:rPr>
                                <w:rFonts w:ascii="Arial" w:hAnsi="Arial" w:cs="Arial"/>
                                <w:color w:val="7F7F7F" w:themeColor="text1" w:themeTint="80"/>
                                <w:sz w:val="20"/>
                                <w:szCs w:val="20"/>
                              </w:rPr>
                            </w:pPr>
                            <w:r>
                              <w:rPr>
                                <w:rFonts w:ascii="Arial" w:hAnsi="Arial" w:cs="Arial"/>
                                <w:color w:val="7F7F7F" w:themeColor="text1" w:themeTint="80"/>
                                <w:sz w:val="20"/>
                                <w:szCs w:val="20"/>
                              </w:rPr>
                              <w:t xml:space="preserve">Fiduciary management is the delegation of some, or all, of the day-to-day investment decisions and implementation to a fiduciary manager. But the trustees still retain responsibility for setting the high-level investment strategy. </w:t>
                            </w:r>
                          </w:p>
                          <w:p w14:paraId="24731838" w14:textId="77777777" w:rsidR="00223472" w:rsidRDefault="00223472" w:rsidP="00223472">
                            <w:pPr>
                              <w:spacing w:after="60"/>
                              <w:rPr>
                                <w:rFonts w:ascii="Arial" w:hAnsi="Arial" w:cs="Arial"/>
                                <w:color w:val="7F7F7F" w:themeColor="text1" w:themeTint="80"/>
                                <w:sz w:val="20"/>
                                <w:szCs w:val="20"/>
                              </w:rPr>
                            </w:pPr>
                            <w:r>
                              <w:rPr>
                                <w:rFonts w:ascii="Arial" w:hAnsi="Arial" w:cs="Arial"/>
                                <w:color w:val="7F7F7F" w:themeColor="text1" w:themeTint="80"/>
                                <w:sz w:val="20"/>
                                <w:szCs w:val="20"/>
                              </w:rPr>
                              <w:t xml:space="preserve">In fiduciary management arrangements, the trustees will often delegate monitoring ESG integration and asset stewardship to its fiduciary manager. </w:t>
                            </w:r>
                          </w:p>
                          <w:p w14:paraId="6E74E15A" w14:textId="77777777" w:rsidR="00223472" w:rsidRPr="00D71C61" w:rsidRDefault="00223472" w:rsidP="00223472">
                            <w:pPr>
                              <w:spacing w:after="60"/>
                              <w:rPr>
                                <w:rFonts w:ascii="Arial" w:hAnsi="Arial" w:cs="Arial"/>
                                <w:i/>
                                <w:iCs/>
                                <w:color w:val="7F7F7F" w:themeColor="text1" w:themeTint="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48D2C" id="Rectangle 5" o:spid="_x0000_s1027" style="position:absolute;margin-left:378.1pt;margin-top:8pt;width:141.8pt;height:255.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" fillcolor="#daebf1" stroked="f" strokeweight="1pt">
                <v:textbox>
                  <w:txbxContent>
                    <w:p w14:paraId="288004C9" w14:textId="77777777" w:rsidR="00223472" w:rsidRPr="00C67E9C" w:rsidRDefault="00223472" w:rsidP="00223472">
                      <w:pPr>
                        <w:rPr>
                          <w:rFonts w:ascii="Arial" w:hAnsi="Arial" w:cs="Arial"/>
                          <w:color w:val="0083A9"/>
                          <w:sz w:val="24"/>
                          <w:szCs w:val="24"/>
                        </w:rPr>
                      </w:pPr>
                      <w:r w:rsidRPr="00C67E9C">
                        <w:rPr>
                          <w:rFonts w:ascii="Arial" w:hAnsi="Arial" w:cs="Arial"/>
                          <w:color w:val="0083A9"/>
                          <w:sz w:val="24"/>
                          <w:szCs w:val="24"/>
                        </w:rPr>
                        <w:t xml:space="preserve">What is </w:t>
                      </w:r>
                      <w:r>
                        <w:rPr>
                          <w:rFonts w:ascii="Arial" w:hAnsi="Arial" w:cs="Arial"/>
                          <w:color w:val="0083A9"/>
                          <w:sz w:val="24"/>
                          <w:szCs w:val="24"/>
                        </w:rPr>
                        <w:t>fiduciary management</w:t>
                      </w:r>
                      <w:r w:rsidRPr="00C67E9C">
                        <w:rPr>
                          <w:rFonts w:ascii="Arial" w:hAnsi="Arial" w:cs="Arial"/>
                          <w:color w:val="0083A9"/>
                          <w:sz w:val="24"/>
                          <w:szCs w:val="24"/>
                        </w:rPr>
                        <w:t>?</w:t>
                      </w:r>
                    </w:p>
                    <w:p w14:paraId="52446211" w14:textId="77777777" w:rsidR="00223472" w:rsidRDefault="00223472" w:rsidP="00223472">
                      <w:pPr>
                        <w:spacing w:after="60"/>
                        <w:rPr>
                          <w:rFonts w:ascii="Arial" w:hAnsi="Arial" w:cs="Arial"/>
                          <w:color w:val="7F7F7F" w:themeColor="text1" w:themeTint="80"/>
                          <w:sz w:val="20"/>
                          <w:szCs w:val="20"/>
                        </w:rPr>
                      </w:pPr>
                      <w:r>
                        <w:rPr>
                          <w:rFonts w:ascii="Arial" w:hAnsi="Arial" w:cs="Arial"/>
                          <w:color w:val="7F7F7F" w:themeColor="text1" w:themeTint="80"/>
                          <w:sz w:val="20"/>
                          <w:szCs w:val="20"/>
                        </w:rPr>
                        <w:t xml:space="preserve">Fiduciary management is the delegation of some, or all, of the day-to-day investment decisions and implementation to a fiduciary manager. But the trustees still retain responsibility for setting the high-level investment strategy. </w:t>
                      </w:r>
                    </w:p>
                    <w:p w14:paraId="24731838" w14:textId="77777777" w:rsidR="00223472" w:rsidRDefault="00223472" w:rsidP="00223472">
                      <w:pPr>
                        <w:spacing w:after="60"/>
                        <w:rPr>
                          <w:rFonts w:ascii="Arial" w:hAnsi="Arial" w:cs="Arial"/>
                          <w:color w:val="7F7F7F" w:themeColor="text1" w:themeTint="80"/>
                          <w:sz w:val="20"/>
                          <w:szCs w:val="20"/>
                        </w:rPr>
                      </w:pPr>
                      <w:r>
                        <w:rPr>
                          <w:rFonts w:ascii="Arial" w:hAnsi="Arial" w:cs="Arial"/>
                          <w:color w:val="7F7F7F" w:themeColor="text1" w:themeTint="80"/>
                          <w:sz w:val="20"/>
                          <w:szCs w:val="20"/>
                        </w:rPr>
                        <w:t xml:space="preserve">In fiduciary management arrangements, the trustees will often delegate monitoring ESG integration and asset stewardship to its fiduciary manager. </w:t>
                      </w:r>
                    </w:p>
                    <w:p w14:paraId="6E74E15A" w14:textId="77777777" w:rsidR="00223472" w:rsidRPr="00D71C61" w:rsidRDefault="00223472" w:rsidP="00223472">
                      <w:pPr>
                        <w:spacing w:after="60"/>
                        <w:rPr>
                          <w:rFonts w:ascii="Arial" w:hAnsi="Arial" w:cs="Arial"/>
                          <w:i/>
                          <w:iCs/>
                          <w:color w:val="7F7F7F" w:themeColor="text1" w:themeTint="80"/>
                          <w:sz w:val="18"/>
                          <w:szCs w:val="18"/>
                        </w:rPr>
                      </w:pPr>
                    </w:p>
                  </w:txbxContent>
                </v:textbox>
                <w10:wrap anchorx="margin"/>
              </v:rect>
            </w:pict>
          </mc:Fallback>
        </mc:AlternateContent>
      </w:r>
    </w:p>
    <w:p w14:paraId="1DF5913D" w14:textId="5BE51E93" w:rsidR="00F525A6" w:rsidRPr="00326EF0" w:rsidRDefault="00B7177F" w:rsidP="00184F16">
      <w:pPr>
        <w:spacing w:line="252" w:lineRule="auto"/>
        <w:jc w:val="both"/>
        <w:rPr>
          <w:rFonts w:ascii="Arial" w:hAnsi="Arial" w:cs="Arial"/>
          <w:sz w:val="28"/>
          <w:szCs w:val="28"/>
        </w:rPr>
      </w:pPr>
      <w:r w:rsidRPr="005D06F1">
        <w:rPr>
          <w:rFonts w:ascii="Arial" w:hAnsi="Arial" w:cs="Arial"/>
          <w:sz w:val="28"/>
          <w:szCs w:val="28"/>
        </w:rPr>
        <w:t>Our fiduciary manager’s e</w:t>
      </w:r>
      <w:r w:rsidR="00B433F4" w:rsidRPr="005D06F1">
        <w:rPr>
          <w:rFonts w:ascii="Arial" w:hAnsi="Arial" w:cs="Arial"/>
          <w:sz w:val="28"/>
          <w:szCs w:val="28"/>
        </w:rPr>
        <w:t>ngagement</w:t>
      </w:r>
      <w:r w:rsidR="00983D9A" w:rsidRPr="005D06F1">
        <w:rPr>
          <w:rFonts w:ascii="Arial" w:hAnsi="Arial" w:cs="Arial"/>
          <w:sz w:val="28"/>
          <w:szCs w:val="28"/>
        </w:rPr>
        <w:t xml:space="preserve"> </w:t>
      </w:r>
      <w:r w:rsidRPr="005D06F1">
        <w:rPr>
          <w:rFonts w:ascii="Arial" w:hAnsi="Arial" w:cs="Arial"/>
          <w:sz w:val="28"/>
          <w:szCs w:val="28"/>
        </w:rPr>
        <w:t>activity</w:t>
      </w:r>
      <w:r w:rsidRPr="00326EF0">
        <w:rPr>
          <w:rFonts w:ascii="Arial" w:hAnsi="Arial" w:cs="Arial"/>
          <w:sz w:val="28"/>
          <w:szCs w:val="28"/>
        </w:rPr>
        <w:t xml:space="preserve"> </w:t>
      </w:r>
    </w:p>
    <w:p w14:paraId="7E26FCA8" w14:textId="77777777" w:rsidR="004A44E7" w:rsidRPr="00780194" w:rsidRDefault="004A44E7" w:rsidP="004A44E7">
      <w:pPr>
        <w:spacing w:after="0" w:line="240" w:lineRule="auto"/>
        <w:rPr>
          <w:rFonts w:ascii="Arial" w:eastAsia="Arial" w:hAnsi="Arial" w:cs="Arial"/>
          <w:sz w:val="20"/>
          <w:szCs w:val="20"/>
        </w:rPr>
      </w:pPr>
      <w:bookmarkStart w:id="0" w:name="_Hlk96592144"/>
      <w:r w:rsidRPr="00780194">
        <w:rPr>
          <w:rFonts w:ascii="Arial" w:eastAsia="Arial" w:hAnsi="Arial" w:cs="Arial"/>
          <w:sz w:val="20"/>
          <w:szCs w:val="20"/>
        </w:rPr>
        <w:t xml:space="preserve">We delegate the management of the Plan's defined benefit assets to our fiduciary manager, </w:t>
      </w:r>
      <w:r w:rsidRPr="00C12C02">
        <w:rPr>
          <w:rFonts w:ascii="Arial" w:eastAsia="Arial" w:hAnsi="Arial" w:cs="Arial"/>
          <w:sz w:val="20"/>
          <w:szCs w:val="20"/>
        </w:rPr>
        <w:t>State Street Global Advisers (“SSGA”)</w:t>
      </w:r>
      <w:r w:rsidRPr="00780194">
        <w:rPr>
          <w:rFonts w:ascii="Arial" w:eastAsia="Arial" w:hAnsi="Arial" w:cs="Arial"/>
          <w:sz w:val="20"/>
          <w:szCs w:val="20"/>
        </w:rPr>
        <w:t xml:space="preserve">. </w:t>
      </w:r>
      <w:r w:rsidRPr="00C12C02">
        <w:rPr>
          <w:rFonts w:ascii="Arial" w:eastAsia="Arial" w:hAnsi="Arial" w:cs="Arial"/>
          <w:sz w:val="20"/>
          <w:szCs w:val="20"/>
        </w:rPr>
        <w:t>SSGA</w:t>
      </w:r>
      <w:r w:rsidRPr="00780194" w:rsidDel="00C12C02">
        <w:rPr>
          <w:rFonts w:ascii="Arial" w:eastAsia="Arial" w:hAnsi="Arial" w:cs="Arial"/>
          <w:sz w:val="20"/>
          <w:szCs w:val="20"/>
        </w:rPr>
        <w:t xml:space="preserve"> </w:t>
      </w:r>
      <w:r w:rsidRPr="00780194">
        <w:rPr>
          <w:rFonts w:ascii="Arial" w:eastAsia="Arial" w:hAnsi="Arial" w:cs="Arial"/>
          <w:sz w:val="20"/>
          <w:szCs w:val="20"/>
        </w:rPr>
        <w:t xml:space="preserve">manages the Plan's assets in a range of funds which can include multi-asset, multi-manager and liability matching funds. SSGA selects the underlying investment managers on our behalf. </w:t>
      </w:r>
    </w:p>
    <w:p w14:paraId="38B7C7FF" w14:textId="77777777" w:rsidR="004A44E7" w:rsidRPr="00780194" w:rsidRDefault="004A44E7" w:rsidP="004A44E7">
      <w:pPr>
        <w:spacing w:after="0" w:line="240" w:lineRule="auto"/>
        <w:rPr>
          <w:rFonts w:ascii="Arial" w:eastAsia="Arial" w:hAnsi="Arial" w:cs="Arial"/>
          <w:sz w:val="20"/>
          <w:szCs w:val="20"/>
        </w:rPr>
      </w:pPr>
    </w:p>
    <w:p w14:paraId="7D804AFD" w14:textId="3B25A842" w:rsidR="004A44E7" w:rsidRDefault="004A44E7" w:rsidP="004A44E7">
      <w:pPr>
        <w:spacing w:after="0" w:line="240" w:lineRule="auto"/>
        <w:rPr>
          <w:rFonts w:ascii="Arial" w:eastAsia="Arial" w:hAnsi="Arial" w:cs="Arial"/>
          <w:sz w:val="20"/>
          <w:szCs w:val="20"/>
        </w:rPr>
      </w:pPr>
      <w:r w:rsidRPr="00780194">
        <w:rPr>
          <w:rFonts w:ascii="Arial" w:eastAsia="Arial" w:hAnsi="Arial" w:cs="Arial"/>
          <w:sz w:val="20"/>
          <w:szCs w:val="20"/>
        </w:rPr>
        <w:t>We delegate m</w:t>
      </w:r>
      <w:r w:rsidRPr="0022501F">
        <w:rPr>
          <w:rFonts w:ascii="Arial" w:eastAsia="Arial" w:hAnsi="Arial" w:cs="Arial"/>
          <w:sz w:val="20"/>
          <w:szCs w:val="20"/>
        </w:rPr>
        <w:t xml:space="preserve">onitoring of ESG integration and stewardship of the underlying managers to SSGA. </w:t>
      </w:r>
      <w:r w:rsidRPr="00DF54BF">
        <w:rPr>
          <w:rFonts w:ascii="Arial" w:hAnsi="Arial" w:cs="Arial"/>
          <w:sz w:val="20"/>
          <w:szCs w:val="20"/>
        </w:rPr>
        <w:t>We receive annual reports on stewardship activity carried out by our fiduciary manager via the Trustees of the Common Investment Fund.</w:t>
      </w:r>
      <w:r w:rsidRPr="0022501F">
        <w:rPr>
          <w:rFonts w:ascii="Arial" w:hAnsi="Arial" w:cs="Arial"/>
          <w:sz w:val="20"/>
          <w:szCs w:val="20"/>
        </w:rPr>
        <w:t xml:space="preserve"> These reports include voting and engagement information. </w:t>
      </w:r>
      <w:r w:rsidRPr="0022501F">
        <w:rPr>
          <w:rFonts w:ascii="Arial" w:eastAsia="Arial" w:hAnsi="Arial" w:cs="Arial"/>
          <w:sz w:val="20"/>
          <w:szCs w:val="20"/>
        </w:rPr>
        <w:t>We believe SSGA is</w:t>
      </w:r>
      <w:r w:rsidRPr="00C12C02">
        <w:rPr>
          <w:rFonts w:ascii="Arial" w:eastAsia="Arial" w:hAnsi="Arial" w:cs="Arial"/>
          <w:sz w:val="20"/>
          <w:szCs w:val="20"/>
        </w:rPr>
        <w:t xml:space="preserve"> using its resources to effectively influence positive outcomes in the funds in which it invests. </w:t>
      </w:r>
    </w:p>
    <w:p w14:paraId="38E8CF52" w14:textId="77777777" w:rsidR="00980BE0" w:rsidRDefault="00980BE0" w:rsidP="004A44E7">
      <w:pPr>
        <w:spacing w:after="0" w:line="240" w:lineRule="auto"/>
        <w:rPr>
          <w:rFonts w:ascii="Arial" w:eastAsia="Arial" w:hAnsi="Arial" w:cs="Arial"/>
          <w:sz w:val="20"/>
          <w:szCs w:val="20"/>
        </w:rPr>
      </w:pPr>
    </w:p>
    <w:p w14:paraId="741C5818" w14:textId="3C1BB090" w:rsidR="00B06E39" w:rsidRPr="00780194" w:rsidRDefault="00980BE0" w:rsidP="004A44E7">
      <w:pPr>
        <w:spacing w:after="0" w:line="240" w:lineRule="auto"/>
        <w:rPr>
          <w:rFonts w:ascii="Arial" w:eastAsia="Arial" w:hAnsi="Arial" w:cs="Arial"/>
          <w:sz w:val="20"/>
          <w:szCs w:val="20"/>
        </w:rPr>
      </w:pPr>
      <w:r>
        <w:rPr>
          <w:rFonts w:ascii="Arial" w:eastAsia="Arial" w:hAnsi="Arial" w:cs="Arial"/>
          <w:sz w:val="20"/>
          <w:szCs w:val="20"/>
        </w:rPr>
        <w:t xml:space="preserve">Following the demerger of the GE Vernova business group from the GE Company, GEEPS ceased to participate in the GE Common Investment Fund from 2 April 2024. This event had no impact on the Trustee’s stewardship and engagement policies. </w:t>
      </w:r>
    </w:p>
    <w:bookmarkEnd w:id="0"/>
    <w:p w14:paraId="2E4B88D6" w14:textId="6EAA91AE" w:rsidR="001F115D" w:rsidRDefault="001F115D" w:rsidP="00B34814">
      <w:pPr>
        <w:spacing w:line="252" w:lineRule="auto"/>
        <w:jc w:val="both"/>
        <w:rPr>
          <w:rFonts w:ascii="Arial" w:hAnsi="Arial" w:cs="Arial"/>
          <w:sz w:val="20"/>
          <w:szCs w:val="20"/>
        </w:rPr>
      </w:pPr>
    </w:p>
    <w:p w14:paraId="22CD4AAB" w14:textId="77777777" w:rsidR="001F115D" w:rsidRDefault="001F115D" w:rsidP="001F115D">
      <w:pPr>
        <w:spacing w:line="252" w:lineRule="auto"/>
        <w:jc w:val="both"/>
        <w:rPr>
          <w:rFonts w:ascii="Arial" w:hAnsi="Arial" w:cs="Arial"/>
          <w:i/>
          <w:iCs/>
          <w:sz w:val="16"/>
          <w:szCs w:val="16"/>
        </w:rPr>
        <w:sectPr w:rsidR="001F115D" w:rsidSect="00223472">
          <w:pgSz w:w="11906" w:h="16838"/>
          <w:pgMar w:top="1440" w:right="3986" w:bottom="1440" w:left="851" w:header="708" w:footer="708" w:gutter="0"/>
          <w:cols w:space="708"/>
          <w:docGrid w:linePitch="360"/>
        </w:sectPr>
      </w:pPr>
    </w:p>
    <w:p w14:paraId="5054E2D3" w14:textId="77777777" w:rsidR="008F2F6B" w:rsidRDefault="008F2F6B" w:rsidP="00184F16">
      <w:pPr>
        <w:spacing w:line="252" w:lineRule="auto"/>
        <w:jc w:val="both"/>
        <w:rPr>
          <w:rFonts w:ascii="Arial" w:hAnsi="Arial" w:cs="Arial"/>
          <w:sz w:val="20"/>
          <w:szCs w:val="20"/>
        </w:rPr>
      </w:pPr>
    </w:p>
    <w:p w14:paraId="5C06F37F" w14:textId="37A1AC1F" w:rsidR="008F2F6B" w:rsidRDefault="008F2F6B" w:rsidP="00184F16">
      <w:pPr>
        <w:spacing w:line="252" w:lineRule="auto"/>
        <w:jc w:val="both"/>
        <w:rPr>
          <w:rFonts w:ascii="Arial" w:hAnsi="Arial" w:cs="Arial"/>
          <w:i/>
          <w:iCs/>
          <w:sz w:val="16"/>
          <w:szCs w:val="16"/>
        </w:rPr>
        <w:sectPr w:rsidR="008F2F6B" w:rsidSect="00C609FB">
          <w:type w:val="continuous"/>
          <w:pgSz w:w="11906" w:h="16838"/>
          <w:pgMar w:top="1440" w:right="4109" w:bottom="1440" w:left="851" w:header="708" w:footer="708" w:gutter="0"/>
          <w:cols w:space="708"/>
          <w:docGrid w:linePitch="360"/>
        </w:sectPr>
      </w:pPr>
    </w:p>
    <w:p w14:paraId="5B73F937" w14:textId="3D92F4F3" w:rsidR="002207F8" w:rsidRPr="00D81E3F" w:rsidRDefault="007F785E" w:rsidP="00D81E3F">
      <w:pPr>
        <w:spacing w:line="252" w:lineRule="auto"/>
        <w:rPr>
          <w:rFonts w:ascii="Arial" w:hAnsi="Arial" w:cs="Arial"/>
          <w:sz w:val="28"/>
          <w:szCs w:val="28"/>
        </w:rPr>
      </w:pPr>
      <w:r>
        <w:rPr>
          <w:rFonts w:ascii="Arial" w:hAnsi="Arial" w:cs="Arial"/>
          <w:sz w:val="28"/>
          <w:szCs w:val="28"/>
        </w:rPr>
        <w:lastRenderedPageBreak/>
        <w:t>O</w:t>
      </w:r>
      <w:r w:rsidR="003058BC">
        <w:rPr>
          <w:rFonts w:ascii="Arial" w:hAnsi="Arial" w:cs="Arial"/>
          <w:sz w:val="28"/>
          <w:szCs w:val="28"/>
        </w:rPr>
        <w:t xml:space="preserve">ur </w:t>
      </w:r>
      <w:r w:rsidR="00326EF0">
        <w:rPr>
          <w:rFonts w:ascii="Arial" w:hAnsi="Arial" w:cs="Arial"/>
          <w:sz w:val="28"/>
          <w:szCs w:val="28"/>
        </w:rPr>
        <w:t xml:space="preserve">underlying </w:t>
      </w:r>
      <w:r w:rsidR="003058BC">
        <w:rPr>
          <w:rFonts w:ascii="Arial" w:hAnsi="Arial" w:cs="Arial"/>
          <w:sz w:val="28"/>
          <w:szCs w:val="28"/>
        </w:rPr>
        <w:t>m</w:t>
      </w:r>
      <w:r w:rsidR="003E635B" w:rsidRPr="00CD0B21">
        <w:rPr>
          <w:rFonts w:ascii="Arial" w:hAnsi="Arial" w:cs="Arial"/>
          <w:sz w:val="28"/>
          <w:szCs w:val="28"/>
        </w:rPr>
        <w:t>anager</w:t>
      </w:r>
      <w:r w:rsidR="00E940A6" w:rsidRPr="00CD0B21">
        <w:rPr>
          <w:rFonts w:ascii="Arial" w:hAnsi="Arial" w:cs="Arial"/>
          <w:sz w:val="28"/>
          <w:szCs w:val="28"/>
        </w:rPr>
        <w:t>s’</w:t>
      </w:r>
      <w:r w:rsidR="003E635B" w:rsidRPr="00CD0B21">
        <w:rPr>
          <w:rFonts w:ascii="Arial" w:hAnsi="Arial" w:cs="Arial"/>
          <w:sz w:val="28"/>
          <w:szCs w:val="28"/>
        </w:rPr>
        <w:t xml:space="preserve"> </w:t>
      </w:r>
      <w:r w:rsidR="00CD0B21" w:rsidRPr="00CD0B21">
        <w:rPr>
          <w:rFonts w:ascii="Arial" w:hAnsi="Arial" w:cs="Arial"/>
          <w:sz w:val="28"/>
          <w:szCs w:val="28"/>
        </w:rPr>
        <w:t>e</w:t>
      </w:r>
      <w:r w:rsidR="004B521E" w:rsidRPr="00CD0B21">
        <w:rPr>
          <w:rFonts w:ascii="Arial" w:hAnsi="Arial" w:cs="Arial"/>
          <w:sz w:val="28"/>
          <w:szCs w:val="28"/>
        </w:rPr>
        <w:t xml:space="preserve">ngagement activity </w:t>
      </w:r>
    </w:p>
    <w:p w14:paraId="518EA1C1" w14:textId="731627A8" w:rsidR="009E4FFC" w:rsidRDefault="004B1C1D" w:rsidP="00CB61CD">
      <w:pPr>
        <w:spacing w:after="0" w:line="252" w:lineRule="auto"/>
        <w:ind w:right="2989"/>
        <w:rPr>
          <w:rFonts w:ascii="Arial" w:hAnsi="Arial" w:cs="Arial"/>
          <w:sz w:val="20"/>
          <w:szCs w:val="20"/>
        </w:rPr>
      </w:pPr>
      <w:r w:rsidRPr="004B1C1D">
        <w:rPr>
          <w:rFonts w:ascii="Arial" w:hAnsi="Arial" w:cs="Arial"/>
          <w:sz w:val="20"/>
          <w:szCs w:val="20"/>
        </w:rPr>
        <w:t xml:space="preserve">Engagement </w:t>
      </w:r>
      <w:r>
        <w:rPr>
          <w:rFonts w:ascii="Arial" w:hAnsi="Arial" w:cs="Arial"/>
          <w:sz w:val="20"/>
          <w:szCs w:val="20"/>
        </w:rPr>
        <w:t xml:space="preserve">is when </w:t>
      </w:r>
      <w:r w:rsidRPr="004B1C1D">
        <w:rPr>
          <w:rFonts w:ascii="Arial" w:hAnsi="Arial" w:cs="Arial"/>
          <w:sz w:val="20"/>
          <w:szCs w:val="20"/>
        </w:rPr>
        <w:t>an investor communicat</w:t>
      </w:r>
      <w:r>
        <w:rPr>
          <w:rFonts w:ascii="Arial" w:hAnsi="Arial" w:cs="Arial"/>
          <w:sz w:val="20"/>
          <w:szCs w:val="20"/>
        </w:rPr>
        <w:t>es</w:t>
      </w:r>
      <w:r w:rsidRPr="004B1C1D">
        <w:rPr>
          <w:rFonts w:ascii="Arial" w:hAnsi="Arial" w:cs="Arial"/>
          <w:sz w:val="20"/>
          <w:szCs w:val="20"/>
        </w:rPr>
        <w:t xml:space="preserve"> with current (or potential) investee companies (or issuers) to improve </w:t>
      </w:r>
      <w:r>
        <w:rPr>
          <w:rFonts w:ascii="Arial" w:hAnsi="Arial" w:cs="Arial"/>
          <w:sz w:val="20"/>
          <w:szCs w:val="20"/>
        </w:rPr>
        <w:t xml:space="preserve">their </w:t>
      </w:r>
      <w:r w:rsidRPr="004B1C1D">
        <w:rPr>
          <w:rFonts w:ascii="Arial" w:hAnsi="Arial" w:cs="Arial"/>
          <w:sz w:val="20"/>
          <w:szCs w:val="20"/>
        </w:rPr>
        <w:t>ESG practices, sustainability outcomes or public disclosure. Good engagement identifies relevant ESG issues, sets objectives, tracks results, maps escalation strategies and incorporates findings into investment decision-making.</w:t>
      </w:r>
    </w:p>
    <w:p w14:paraId="2BDB5EEB" w14:textId="77777777" w:rsidR="007B4838" w:rsidRDefault="007B4838" w:rsidP="00CB61CD">
      <w:pPr>
        <w:spacing w:after="0" w:line="252" w:lineRule="auto"/>
        <w:ind w:right="2989"/>
        <w:jc w:val="both"/>
        <w:rPr>
          <w:rFonts w:ascii="Arial" w:hAnsi="Arial" w:cs="Arial"/>
          <w:sz w:val="20"/>
          <w:szCs w:val="20"/>
        </w:rPr>
      </w:pPr>
    </w:p>
    <w:p w14:paraId="757ADFA0" w14:textId="7549DBFB" w:rsidR="00945EC9" w:rsidRDefault="004B521E" w:rsidP="00CB61CD">
      <w:pPr>
        <w:spacing w:after="0" w:line="252" w:lineRule="auto"/>
        <w:ind w:right="2989"/>
        <w:rPr>
          <w:rFonts w:ascii="Arial" w:hAnsi="Arial" w:cs="Arial"/>
          <w:sz w:val="20"/>
          <w:szCs w:val="20"/>
        </w:rPr>
      </w:pPr>
      <w:r w:rsidRPr="00A166B2">
        <w:rPr>
          <w:rFonts w:ascii="Arial" w:hAnsi="Arial" w:cs="Arial"/>
          <w:sz w:val="20"/>
          <w:szCs w:val="20"/>
        </w:rPr>
        <w:t xml:space="preserve">The </w:t>
      </w:r>
      <w:r w:rsidR="003E635B" w:rsidRPr="00326EF0">
        <w:rPr>
          <w:rFonts w:ascii="Arial" w:hAnsi="Arial" w:cs="Arial"/>
          <w:sz w:val="20"/>
          <w:szCs w:val="20"/>
        </w:rPr>
        <w:t xml:space="preserve">table </w:t>
      </w:r>
      <w:r w:rsidR="004B1C1D" w:rsidRPr="00326EF0">
        <w:rPr>
          <w:rFonts w:ascii="Arial" w:hAnsi="Arial" w:cs="Arial"/>
          <w:sz w:val="20"/>
          <w:szCs w:val="20"/>
        </w:rPr>
        <w:t xml:space="preserve">below </w:t>
      </w:r>
      <w:r w:rsidR="003E635B" w:rsidRPr="00326EF0">
        <w:rPr>
          <w:rFonts w:ascii="Arial" w:hAnsi="Arial" w:cs="Arial"/>
          <w:sz w:val="20"/>
          <w:szCs w:val="20"/>
        </w:rPr>
        <w:t xml:space="preserve">shows </w:t>
      </w:r>
      <w:r w:rsidRPr="00326EF0">
        <w:rPr>
          <w:rFonts w:ascii="Arial" w:hAnsi="Arial" w:cs="Arial"/>
          <w:sz w:val="20"/>
          <w:szCs w:val="20"/>
        </w:rPr>
        <w:t xml:space="preserve">some of the engagement activity carried out by the </w:t>
      </w:r>
      <w:r w:rsidR="002A4D03" w:rsidRPr="005D06F1">
        <w:rPr>
          <w:rFonts w:ascii="Arial" w:hAnsi="Arial" w:cs="Arial"/>
          <w:sz w:val="20"/>
          <w:szCs w:val="20"/>
        </w:rPr>
        <w:t>Scheme</w:t>
      </w:r>
      <w:r w:rsidRPr="00326EF0">
        <w:rPr>
          <w:rFonts w:ascii="Arial" w:hAnsi="Arial" w:cs="Arial"/>
          <w:sz w:val="20"/>
          <w:szCs w:val="20"/>
        </w:rPr>
        <w:t xml:space="preserve">’s </w:t>
      </w:r>
      <w:r w:rsidR="003E635B" w:rsidRPr="00326EF0">
        <w:rPr>
          <w:rFonts w:ascii="Arial" w:hAnsi="Arial" w:cs="Arial"/>
          <w:sz w:val="20"/>
          <w:szCs w:val="20"/>
        </w:rPr>
        <w:t xml:space="preserve">material </w:t>
      </w:r>
      <w:r w:rsidRPr="005D06F1">
        <w:rPr>
          <w:rFonts w:ascii="Arial" w:hAnsi="Arial" w:cs="Arial"/>
          <w:sz w:val="20"/>
          <w:szCs w:val="20"/>
        </w:rPr>
        <w:t>managers</w:t>
      </w:r>
      <w:r w:rsidR="000B605C" w:rsidRPr="005D06F1">
        <w:rPr>
          <w:rFonts w:ascii="Arial" w:hAnsi="Arial" w:cs="Arial"/>
          <w:sz w:val="20"/>
          <w:szCs w:val="20"/>
        </w:rPr>
        <w:t>.</w:t>
      </w:r>
      <w:r w:rsidR="000B605C" w:rsidRPr="00326EF0">
        <w:rPr>
          <w:rFonts w:ascii="Arial" w:hAnsi="Arial" w:cs="Arial"/>
          <w:sz w:val="20"/>
          <w:szCs w:val="20"/>
        </w:rPr>
        <w:t xml:space="preserve"> The </w:t>
      </w:r>
      <w:r w:rsidR="000B605C" w:rsidRPr="005D06F1">
        <w:rPr>
          <w:rFonts w:ascii="Arial" w:hAnsi="Arial" w:cs="Arial"/>
          <w:sz w:val="20"/>
          <w:szCs w:val="20"/>
        </w:rPr>
        <w:t>managers have</w:t>
      </w:r>
      <w:r w:rsidR="000B605C" w:rsidRPr="00326EF0">
        <w:rPr>
          <w:rFonts w:ascii="Arial" w:hAnsi="Arial" w:cs="Arial"/>
          <w:sz w:val="20"/>
          <w:szCs w:val="20"/>
        </w:rPr>
        <w:t xml:space="preserve"> provided information</w:t>
      </w:r>
      <w:r w:rsidRPr="00326EF0">
        <w:rPr>
          <w:rFonts w:ascii="Arial" w:hAnsi="Arial" w:cs="Arial"/>
          <w:sz w:val="20"/>
          <w:szCs w:val="20"/>
        </w:rPr>
        <w:t xml:space="preserve"> </w:t>
      </w:r>
      <w:r w:rsidR="000B605C" w:rsidRPr="00326EF0">
        <w:rPr>
          <w:rFonts w:ascii="Arial" w:hAnsi="Arial" w:cs="Arial"/>
          <w:sz w:val="20"/>
          <w:szCs w:val="20"/>
        </w:rPr>
        <w:t xml:space="preserve">for </w:t>
      </w:r>
      <w:r w:rsidRPr="00326EF0">
        <w:rPr>
          <w:rFonts w:ascii="Arial" w:hAnsi="Arial" w:cs="Arial"/>
          <w:sz w:val="20"/>
          <w:szCs w:val="20"/>
        </w:rPr>
        <w:t xml:space="preserve">the </w:t>
      </w:r>
      <w:r w:rsidR="000B605C" w:rsidRPr="00326EF0">
        <w:rPr>
          <w:rFonts w:ascii="Arial" w:hAnsi="Arial" w:cs="Arial"/>
          <w:sz w:val="20"/>
          <w:szCs w:val="20"/>
        </w:rPr>
        <w:t xml:space="preserve">most recent calendar </w:t>
      </w:r>
      <w:r w:rsidRPr="00326EF0">
        <w:rPr>
          <w:rFonts w:ascii="Arial" w:hAnsi="Arial" w:cs="Arial"/>
          <w:sz w:val="20"/>
          <w:szCs w:val="20"/>
        </w:rPr>
        <w:t>year</w:t>
      </w:r>
      <w:r w:rsidR="000B605C" w:rsidRPr="00326EF0">
        <w:rPr>
          <w:rFonts w:ascii="Arial" w:hAnsi="Arial" w:cs="Arial"/>
          <w:sz w:val="20"/>
          <w:szCs w:val="20"/>
        </w:rPr>
        <w:t xml:space="preserve"> available</w:t>
      </w:r>
      <w:r w:rsidRPr="00326EF0">
        <w:rPr>
          <w:rFonts w:ascii="Arial" w:hAnsi="Arial" w:cs="Arial"/>
          <w:sz w:val="20"/>
          <w:szCs w:val="20"/>
        </w:rPr>
        <w:t xml:space="preserve">. </w:t>
      </w:r>
      <w:r w:rsidR="00481F63" w:rsidRPr="00326EF0">
        <w:rPr>
          <w:rFonts w:ascii="Arial" w:hAnsi="Arial" w:cs="Arial"/>
          <w:sz w:val="20"/>
          <w:szCs w:val="20"/>
        </w:rPr>
        <w:t>Some of t</w:t>
      </w:r>
      <w:r w:rsidR="00945EC9" w:rsidRPr="00326EF0">
        <w:rPr>
          <w:rFonts w:ascii="Arial" w:hAnsi="Arial" w:cs="Arial"/>
          <w:sz w:val="20"/>
          <w:szCs w:val="20"/>
        </w:rPr>
        <w:t>he information provided is at a firm</w:t>
      </w:r>
      <w:r w:rsidR="001D3E2E" w:rsidRPr="00326EF0">
        <w:rPr>
          <w:rFonts w:ascii="Arial" w:hAnsi="Arial" w:cs="Arial"/>
          <w:sz w:val="20"/>
          <w:szCs w:val="20"/>
        </w:rPr>
        <w:t>-</w:t>
      </w:r>
      <w:r w:rsidR="00945EC9" w:rsidRPr="00326EF0">
        <w:rPr>
          <w:rFonts w:ascii="Arial" w:hAnsi="Arial" w:cs="Arial"/>
          <w:sz w:val="20"/>
          <w:szCs w:val="20"/>
        </w:rPr>
        <w:t xml:space="preserve">level </w:t>
      </w:r>
      <w:r w:rsidR="00E6009F" w:rsidRPr="00326EF0">
        <w:rPr>
          <w:rFonts w:ascii="Arial" w:hAnsi="Arial" w:cs="Arial"/>
          <w:sz w:val="20"/>
          <w:szCs w:val="20"/>
        </w:rPr>
        <w:t>i.e.,</w:t>
      </w:r>
      <w:r w:rsidR="00945EC9" w:rsidRPr="00326EF0">
        <w:rPr>
          <w:rFonts w:ascii="Arial" w:hAnsi="Arial" w:cs="Arial"/>
          <w:sz w:val="20"/>
          <w:szCs w:val="20"/>
        </w:rPr>
        <w:t xml:space="preserve"> not necessarily specific to the fund</w:t>
      </w:r>
      <w:r w:rsidR="006165CE" w:rsidRPr="00326EF0">
        <w:rPr>
          <w:rFonts w:ascii="Arial" w:hAnsi="Arial" w:cs="Arial"/>
          <w:sz w:val="20"/>
          <w:szCs w:val="20"/>
        </w:rPr>
        <w:t>s</w:t>
      </w:r>
      <w:r w:rsidR="00945EC9" w:rsidRPr="00326EF0">
        <w:rPr>
          <w:rFonts w:ascii="Arial" w:hAnsi="Arial" w:cs="Arial"/>
          <w:sz w:val="20"/>
          <w:szCs w:val="20"/>
        </w:rPr>
        <w:t xml:space="preserve"> invested in by the </w:t>
      </w:r>
      <w:r w:rsidR="00945EC9" w:rsidRPr="005D06F1">
        <w:rPr>
          <w:rFonts w:ascii="Arial" w:hAnsi="Arial" w:cs="Arial"/>
          <w:sz w:val="20"/>
          <w:szCs w:val="20"/>
        </w:rPr>
        <w:t>Scheme</w:t>
      </w:r>
      <w:r w:rsidR="00326EF0" w:rsidRPr="005D06F1">
        <w:rPr>
          <w:rFonts w:ascii="Arial" w:hAnsi="Arial" w:cs="Arial"/>
          <w:sz w:val="20"/>
          <w:szCs w:val="20"/>
        </w:rPr>
        <w:t>.</w:t>
      </w:r>
    </w:p>
    <w:p w14:paraId="5E1033F8" w14:textId="1AA3E5E4" w:rsidR="00481F63" w:rsidRPr="006757B5" w:rsidRDefault="00481F63" w:rsidP="006757B5">
      <w:pPr>
        <w:spacing w:after="0" w:line="252" w:lineRule="auto"/>
        <w:rPr>
          <w:rFonts w:ascii="Arial" w:hAnsi="Arial" w:cs="Arial"/>
          <w:sz w:val="20"/>
          <w:szCs w:val="20"/>
        </w:rPr>
      </w:pPr>
    </w:p>
    <w:tbl>
      <w:tblPr>
        <w:tblStyle w:val="PlainTable2"/>
        <w:tblW w:w="10246" w:type="dxa"/>
        <w:tblLayout w:type="fixed"/>
        <w:tblCellMar>
          <w:top w:w="28" w:type="dxa"/>
          <w:bottom w:w="28" w:type="dxa"/>
        </w:tblCellMar>
        <w:tblLook w:val="04A0" w:firstRow="1" w:lastRow="0" w:firstColumn="1" w:lastColumn="0" w:noHBand="0" w:noVBand="1"/>
      </w:tblPr>
      <w:tblGrid>
        <w:gridCol w:w="2127"/>
        <w:gridCol w:w="1113"/>
        <w:gridCol w:w="1260"/>
        <w:gridCol w:w="5746"/>
      </w:tblGrid>
      <w:tr w:rsidR="00B405A4" w:rsidRPr="00821792" w14:paraId="0C7B0734" w14:textId="77777777" w:rsidTr="00A015AA">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vAlign w:val="center"/>
          </w:tcPr>
          <w:p w14:paraId="00139C31" w14:textId="77777777" w:rsidR="00B405A4" w:rsidRPr="00050C78" w:rsidRDefault="00B405A4" w:rsidP="00A015AA">
            <w:pPr>
              <w:spacing w:line="252" w:lineRule="auto"/>
              <w:rPr>
                <w:rFonts w:ascii="Arial" w:hAnsi="Arial" w:cs="Arial"/>
                <w:sz w:val="18"/>
                <w:szCs w:val="18"/>
              </w:rPr>
            </w:pPr>
            <w:r w:rsidRPr="00050C78">
              <w:rPr>
                <w:rFonts w:ascii="Arial" w:hAnsi="Arial" w:cs="Arial"/>
                <w:sz w:val="18"/>
                <w:szCs w:val="18"/>
              </w:rPr>
              <w:t>Funds</w:t>
            </w:r>
          </w:p>
        </w:tc>
        <w:tc>
          <w:tcPr>
            <w:tcW w:w="2373" w:type="dxa"/>
            <w:gridSpan w:val="2"/>
            <w:tcBorders>
              <w:top w:val="nil"/>
              <w:bottom w:val="nil"/>
            </w:tcBorders>
            <w:vAlign w:val="center"/>
          </w:tcPr>
          <w:p w14:paraId="5964C706" w14:textId="30C61BAC" w:rsidR="00B405A4" w:rsidRPr="00050C78" w:rsidRDefault="00B405A4" w:rsidP="00A015AA">
            <w:pPr>
              <w:spacing w:line="252"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050C78">
              <w:rPr>
                <w:rFonts w:ascii="Arial" w:hAnsi="Arial" w:cs="Arial"/>
                <w:sz w:val="18"/>
                <w:szCs w:val="18"/>
              </w:rPr>
              <w:t>Number of</w:t>
            </w:r>
            <w:r w:rsidR="00A015AA" w:rsidRPr="00050C78">
              <w:rPr>
                <w:rFonts w:ascii="Arial" w:hAnsi="Arial" w:cs="Arial"/>
                <w:sz w:val="18"/>
                <w:szCs w:val="18"/>
              </w:rPr>
              <w:t xml:space="preserve"> e</w:t>
            </w:r>
            <w:r w:rsidRPr="00050C78">
              <w:rPr>
                <w:rFonts w:ascii="Arial" w:hAnsi="Arial" w:cs="Arial"/>
                <w:sz w:val="18"/>
                <w:szCs w:val="18"/>
              </w:rPr>
              <w:t>ngagements</w:t>
            </w:r>
          </w:p>
        </w:tc>
        <w:tc>
          <w:tcPr>
            <w:tcW w:w="5746" w:type="dxa"/>
            <w:tcBorders>
              <w:top w:val="nil"/>
              <w:bottom w:val="nil"/>
            </w:tcBorders>
            <w:vAlign w:val="center"/>
          </w:tcPr>
          <w:p w14:paraId="0A341E4C" w14:textId="08731EE7" w:rsidR="00B405A4" w:rsidRPr="00050C78" w:rsidRDefault="00B405A4" w:rsidP="00A015AA">
            <w:pPr>
              <w:spacing w:line="252"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050C78">
              <w:rPr>
                <w:rFonts w:ascii="Arial" w:hAnsi="Arial" w:cs="Arial"/>
                <w:sz w:val="18"/>
                <w:szCs w:val="18"/>
              </w:rPr>
              <w:t xml:space="preserve">Themes engaged on at a </w:t>
            </w:r>
            <w:r w:rsidR="009D72C4" w:rsidRPr="00050C78">
              <w:rPr>
                <w:rFonts w:ascii="Arial" w:hAnsi="Arial" w:cs="Arial"/>
                <w:sz w:val="18"/>
                <w:szCs w:val="18"/>
              </w:rPr>
              <w:t>fund</w:t>
            </w:r>
            <w:r w:rsidR="005115B0" w:rsidRPr="00050C78">
              <w:rPr>
                <w:rFonts w:ascii="Arial" w:hAnsi="Arial" w:cs="Arial"/>
                <w:sz w:val="18"/>
                <w:szCs w:val="18"/>
              </w:rPr>
              <w:t xml:space="preserve">/ </w:t>
            </w:r>
            <w:r w:rsidR="007E7923" w:rsidRPr="00050C78">
              <w:rPr>
                <w:rFonts w:ascii="Arial" w:hAnsi="Arial" w:cs="Arial"/>
                <w:sz w:val="18"/>
                <w:szCs w:val="18"/>
              </w:rPr>
              <w:t xml:space="preserve">firm </w:t>
            </w:r>
            <w:r w:rsidRPr="00050C78">
              <w:rPr>
                <w:rFonts w:ascii="Arial" w:hAnsi="Arial" w:cs="Arial"/>
                <w:sz w:val="18"/>
                <w:szCs w:val="18"/>
              </w:rPr>
              <w:t>level</w:t>
            </w:r>
          </w:p>
        </w:tc>
      </w:tr>
      <w:tr w:rsidR="00B405A4" w:rsidRPr="00821792" w14:paraId="2F647C64" w14:textId="77777777" w:rsidTr="00A015AA">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127" w:type="dxa"/>
            <w:tcBorders>
              <w:top w:val="nil"/>
            </w:tcBorders>
            <w:vAlign w:val="center"/>
          </w:tcPr>
          <w:p w14:paraId="65F7B988" w14:textId="0E66FED9" w:rsidR="00B405A4" w:rsidRPr="00050C78" w:rsidRDefault="00B405A4" w:rsidP="00A015AA">
            <w:pPr>
              <w:spacing w:line="252" w:lineRule="auto"/>
              <w:rPr>
                <w:rFonts w:ascii="Arial" w:hAnsi="Arial" w:cs="Arial"/>
                <w:sz w:val="18"/>
                <w:szCs w:val="18"/>
              </w:rPr>
            </w:pPr>
          </w:p>
        </w:tc>
        <w:tc>
          <w:tcPr>
            <w:tcW w:w="1113" w:type="dxa"/>
            <w:tcBorders>
              <w:top w:val="nil"/>
            </w:tcBorders>
            <w:vAlign w:val="center"/>
          </w:tcPr>
          <w:p w14:paraId="6B9584C6" w14:textId="02495B5F" w:rsidR="00B405A4" w:rsidRPr="00050C78" w:rsidRDefault="00B405A4" w:rsidP="00A015AA">
            <w:pPr>
              <w:spacing w:line="252"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050C78">
              <w:rPr>
                <w:rFonts w:ascii="Arial" w:hAnsi="Arial" w:cs="Arial"/>
                <w:sz w:val="18"/>
                <w:szCs w:val="18"/>
              </w:rPr>
              <w:t>Fund</w:t>
            </w:r>
            <w:r w:rsidR="005115B0" w:rsidRPr="00050C78">
              <w:rPr>
                <w:rFonts w:ascii="Arial" w:hAnsi="Arial" w:cs="Arial"/>
                <w:sz w:val="18"/>
                <w:szCs w:val="18"/>
              </w:rPr>
              <w:t xml:space="preserve"> level</w:t>
            </w:r>
          </w:p>
        </w:tc>
        <w:tc>
          <w:tcPr>
            <w:tcW w:w="1260" w:type="dxa"/>
            <w:tcBorders>
              <w:top w:val="nil"/>
            </w:tcBorders>
            <w:vAlign w:val="center"/>
          </w:tcPr>
          <w:p w14:paraId="62138F1F" w14:textId="38A66807" w:rsidR="00B405A4" w:rsidRPr="00050C78" w:rsidRDefault="00B405A4" w:rsidP="00A015AA">
            <w:pPr>
              <w:spacing w:line="252"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050C78">
              <w:rPr>
                <w:rFonts w:ascii="Arial" w:hAnsi="Arial" w:cs="Arial"/>
                <w:sz w:val="18"/>
                <w:szCs w:val="18"/>
              </w:rPr>
              <w:t>Firm</w:t>
            </w:r>
            <w:r w:rsidR="005115B0" w:rsidRPr="00050C78">
              <w:rPr>
                <w:rFonts w:ascii="Arial" w:hAnsi="Arial" w:cs="Arial"/>
                <w:sz w:val="18"/>
                <w:szCs w:val="18"/>
              </w:rPr>
              <w:t xml:space="preserve"> </w:t>
            </w:r>
            <w:r w:rsidRPr="00050C78">
              <w:rPr>
                <w:rFonts w:ascii="Arial" w:hAnsi="Arial" w:cs="Arial"/>
                <w:sz w:val="18"/>
                <w:szCs w:val="18"/>
              </w:rPr>
              <w:t>leve</w:t>
            </w:r>
            <w:r w:rsidR="005115B0" w:rsidRPr="00050C78">
              <w:rPr>
                <w:rFonts w:ascii="Arial" w:hAnsi="Arial" w:cs="Arial"/>
                <w:sz w:val="18"/>
                <w:szCs w:val="18"/>
              </w:rPr>
              <w:t>l</w:t>
            </w:r>
          </w:p>
        </w:tc>
        <w:tc>
          <w:tcPr>
            <w:tcW w:w="5746" w:type="dxa"/>
            <w:tcBorders>
              <w:top w:val="nil"/>
            </w:tcBorders>
            <w:vAlign w:val="center"/>
          </w:tcPr>
          <w:p w14:paraId="23668762" w14:textId="0688C6BE" w:rsidR="00B405A4" w:rsidRPr="00050C78" w:rsidRDefault="00B405A4" w:rsidP="00A015AA">
            <w:pPr>
              <w:spacing w:line="252"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r>
      <w:tr w:rsidR="00CB627D" w:rsidRPr="00821792" w14:paraId="68135885" w14:textId="77777777" w:rsidTr="00A015AA">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04CE3D" w14:textId="2D398801" w:rsidR="00CB627D" w:rsidRPr="00CB61CD" w:rsidRDefault="00CB627D" w:rsidP="00CB627D">
            <w:pPr>
              <w:spacing w:line="252" w:lineRule="auto"/>
              <w:rPr>
                <w:rFonts w:ascii="Arial" w:hAnsi="Arial" w:cs="Arial"/>
                <w:sz w:val="18"/>
                <w:szCs w:val="18"/>
                <w:highlight w:val="yellow"/>
              </w:rPr>
            </w:pPr>
            <w:bookmarkStart w:id="1" w:name="_Hlk143264343"/>
            <w:bookmarkStart w:id="2" w:name="_Hlk170495570"/>
            <w:r w:rsidRPr="004A44E7">
              <w:rPr>
                <w:rFonts w:ascii="Arial" w:hAnsi="Arial" w:cs="Arial"/>
                <w:sz w:val="18"/>
                <w:szCs w:val="18"/>
              </w:rPr>
              <w:t>Insight Investment Management</w:t>
            </w:r>
            <w:bookmarkEnd w:id="1"/>
            <w:r w:rsidRPr="004A44E7">
              <w:rPr>
                <w:rFonts w:ascii="Arial" w:hAnsi="Arial" w:cs="Arial"/>
                <w:sz w:val="18"/>
                <w:szCs w:val="18"/>
              </w:rPr>
              <w:t xml:space="preserve"> UK Corporate Long Maturities Bond Fund</w:t>
            </w:r>
            <w:bookmarkEnd w:id="2"/>
          </w:p>
        </w:tc>
        <w:tc>
          <w:tcPr>
            <w:tcW w:w="1113" w:type="dxa"/>
            <w:vAlign w:val="center"/>
          </w:tcPr>
          <w:p w14:paraId="7C68BFB1" w14:textId="13235FF7" w:rsidR="00CB627D" w:rsidRPr="00821792" w:rsidRDefault="00CB627D" w:rsidP="00CB627D">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151E13">
              <w:rPr>
                <w:rFonts w:ascii="Arial" w:hAnsi="Arial" w:cs="Arial"/>
                <w:sz w:val="18"/>
                <w:szCs w:val="18"/>
              </w:rPr>
              <w:t>142</w:t>
            </w:r>
          </w:p>
        </w:tc>
        <w:tc>
          <w:tcPr>
            <w:tcW w:w="1260" w:type="dxa"/>
            <w:vAlign w:val="center"/>
          </w:tcPr>
          <w:p w14:paraId="598ED8B8" w14:textId="4F2532CA" w:rsidR="00CB627D" w:rsidRPr="00821792" w:rsidRDefault="00CB627D" w:rsidP="00CB627D">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151E13">
              <w:rPr>
                <w:rFonts w:ascii="Arial" w:hAnsi="Arial" w:cs="Arial"/>
                <w:sz w:val="18"/>
                <w:szCs w:val="18"/>
              </w:rPr>
              <w:t>2,628</w:t>
            </w:r>
          </w:p>
        </w:tc>
        <w:tc>
          <w:tcPr>
            <w:tcW w:w="5746" w:type="dxa"/>
            <w:vAlign w:val="center"/>
          </w:tcPr>
          <w:p w14:paraId="033CE560" w14:textId="611A41BA" w:rsidR="00CB627D" w:rsidRPr="00F8173C" w:rsidRDefault="00CB627D" w:rsidP="004A44E7">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8173C">
              <w:rPr>
                <w:rFonts w:ascii="Arial" w:hAnsi="Arial" w:cs="Arial"/>
                <w:sz w:val="18"/>
                <w:szCs w:val="18"/>
              </w:rPr>
              <w:t>Environment - Climate change</w:t>
            </w:r>
            <w:r w:rsidRPr="00151E13">
              <w:rPr>
                <w:rFonts w:ascii="Arial" w:hAnsi="Arial" w:cs="Arial"/>
                <w:sz w:val="18"/>
                <w:szCs w:val="18"/>
              </w:rPr>
              <w:t xml:space="preserve">, </w:t>
            </w:r>
            <w:r w:rsidRPr="00F8173C">
              <w:rPr>
                <w:rFonts w:ascii="Arial" w:hAnsi="Arial" w:cs="Arial"/>
                <w:sz w:val="18"/>
                <w:szCs w:val="18"/>
              </w:rPr>
              <w:t>Natural resource use/impact (</w:t>
            </w:r>
            <w:r w:rsidR="00E6009F" w:rsidRPr="00F8173C">
              <w:rPr>
                <w:rFonts w:ascii="Arial" w:hAnsi="Arial" w:cs="Arial"/>
                <w:sz w:val="18"/>
                <w:szCs w:val="18"/>
              </w:rPr>
              <w:t>e.g.,</w:t>
            </w:r>
            <w:r w:rsidRPr="00F8173C">
              <w:rPr>
                <w:rFonts w:ascii="Arial" w:hAnsi="Arial" w:cs="Arial"/>
                <w:sz w:val="18"/>
                <w:szCs w:val="18"/>
              </w:rPr>
              <w:t xml:space="preserve"> water, biodiversity)</w:t>
            </w:r>
          </w:p>
          <w:p w14:paraId="52385729" w14:textId="268CC290" w:rsidR="00CB627D" w:rsidRPr="00F8173C" w:rsidRDefault="00CB627D" w:rsidP="004A44E7">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8173C">
              <w:rPr>
                <w:rFonts w:ascii="Arial" w:hAnsi="Arial" w:cs="Arial"/>
                <w:sz w:val="18"/>
                <w:szCs w:val="18"/>
              </w:rPr>
              <w:t>Social - Human capital management (</w:t>
            </w:r>
            <w:r w:rsidR="00E6009F" w:rsidRPr="00F8173C">
              <w:rPr>
                <w:rFonts w:ascii="Arial" w:hAnsi="Arial" w:cs="Arial"/>
                <w:sz w:val="18"/>
                <w:szCs w:val="18"/>
              </w:rPr>
              <w:t>e.g.,</w:t>
            </w:r>
            <w:r w:rsidRPr="00F8173C">
              <w:rPr>
                <w:rFonts w:ascii="Arial" w:hAnsi="Arial" w:cs="Arial"/>
                <w:sz w:val="18"/>
                <w:szCs w:val="18"/>
              </w:rPr>
              <w:t xml:space="preserve"> inclusion &amp; diversity, employee terms, safety), Conduct, culture and ethics (</w:t>
            </w:r>
            <w:r w:rsidR="00E6009F" w:rsidRPr="00F8173C">
              <w:rPr>
                <w:rFonts w:ascii="Arial" w:hAnsi="Arial" w:cs="Arial"/>
                <w:sz w:val="18"/>
                <w:szCs w:val="18"/>
              </w:rPr>
              <w:t>e.g.,</w:t>
            </w:r>
            <w:r w:rsidRPr="00F8173C">
              <w:rPr>
                <w:rFonts w:ascii="Arial" w:hAnsi="Arial" w:cs="Arial"/>
                <w:sz w:val="18"/>
                <w:szCs w:val="18"/>
              </w:rPr>
              <w:t xml:space="preserve"> tax, anti-bribery, lobbying)</w:t>
            </w:r>
          </w:p>
          <w:p w14:paraId="56749E15" w14:textId="77777777" w:rsidR="00CB627D" w:rsidRPr="00F8173C" w:rsidRDefault="00CB627D" w:rsidP="004A44E7">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8173C">
              <w:rPr>
                <w:rFonts w:ascii="Arial" w:hAnsi="Arial" w:cs="Arial"/>
                <w:sz w:val="18"/>
                <w:szCs w:val="18"/>
              </w:rPr>
              <w:t>Governance - Board effectiveness - Independence or Oversight,</w:t>
            </w:r>
            <w:r w:rsidRPr="00F8173C">
              <w:t xml:space="preserve"> </w:t>
            </w:r>
            <w:r w:rsidRPr="00F8173C">
              <w:rPr>
                <w:rFonts w:ascii="Arial" w:hAnsi="Arial" w:cs="Arial"/>
                <w:sz w:val="18"/>
                <w:szCs w:val="18"/>
              </w:rPr>
              <w:t>Remuneration</w:t>
            </w:r>
          </w:p>
          <w:p w14:paraId="581CE894" w14:textId="06437823" w:rsidR="00CB627D" w:rsidRPr="00821792" w:rsidRDefault="00CB627D" w:rsidP="004A44E7">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F8173C">
              <w:rPr>
                <w:rFonts w:ascii="Arial" w:hAnsi="Arial" w:cs="Arial"/>
                <w:sz w:val="18"/>
                <w:szCs w:val="18"/>
              </w:rPr>
              <w:t>Strategy, Financial and Reporting - Capital allocation,</w:t>
            </w:r>
            <w:r w:rsidRPr="00F8173C">
              <w:t xml:space="preserve"> </w:t>
            </w:r>
            <w:r w:rsidRPr="00F8173C">
              <w:rPr>
                <w:rFonts w:ascii="Arial" w:hAnsi="Arial" w:cs="Arial"/>
                <w:sz w:val="18"/>
                <w:szCs w:val="18"/>
              </w:rPr>
              <w:t>Financial performance,</w:t>
            </w:r>
            <w:r w:rsidRPr="00F8173C">
              <w:t xml:space="preserve"> </w:t>
            </w:r>
            <w:r w:rsidRPr="00F8173C">
              <w:rPr>
                <w:rFonts w:ascii="Arial" w:hAnsi="Arial" w:cs="Arial"/>
                <w:sz w:val="18"/>
                <w:szCs w:val="18"/>
              </w:rPr>
              <w:t>Strategy/purpose,</w:t>
            </w:r>
            <w:r w:rsidRPr="00F8173C">
              <w:t xml:space="preserve"> </w:t>
            </w:r>
            <w:r w:rsidRPr="00F8173C">
              <w:rPr>
                <w:rFonts w:ascii="Arial" w:hAnsi="Arial" w:cs="Arial"/>
                <w:sz w:val="18"/>
                <w:szCs w:val="18"/>
              </w:rPr>
              <w:t>Risk management</w:t>
            </w:r>
            <w:r>
              <w:t xml:space="preserve"> </w:t>
            </w:r>
            <w:r w:rsidRPr="00743F10">
              <w:rPr>
                <w:rFonts w:ascii="Arial" w:hAnsi="Arial" w:cs="Arial"/>
                <w:sz w:val="18"/>
                <w:szCs w:val="18"/>
              </w:rPr>
              <w:t>(e.g. operational risks, cyber/information security, product risks)</w:t>
            </w:r>
          </w:p>
        </w:tc>
      </w:tr>
      <w:tr w:rsidR="00CB627D" w:rsidRPr="00821792" w14:paraId="0398753E" w14:textId="77777777" w:rsidTr="00A015AA">
        <w:trPr>
          <w:trHeight w:val="181"/>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3E4478" w14:textId="77777777" w:rsidR="00CB627D" w:rsidRPr="00CB61CD" w:rsidRDefault="00CB627D" w:rsidP="00CB627D">
            <w:pPr>
              <w:spacing w:line="252" w:lineRule="auto"/>
              <w:rPr>
                <w:rFonts w:ascii="Arial" w:hAnsi="Arial" w:cs="Arial"/>
                <w:sz w:val="18"/>
                <w:szCs w:val="18"/>
              </w:rPr>
            </w:pPr>
            <w:bookmarkStart w:id="3" w:name="_Hlk170495775"/>
            <w:r w:rsidRPr="004A44E7">
              <w:rPr>
                <w:rFonts w:ascii="Arial" w:hAnsi="Arial" w:cs="Arial"/>
                <w:sz w:val="18"/>
                <w:szCs w:val="18"/>
              </w:rPr>
              <w:t xml:space="preserve">BlackRock </w:t>
            </w:r>
          </w:p>
          <w:bookmarkEnd w:id="3"/>
          <w:p w14:paraId="4937CF97" w14:textId="7F6FD6A3" w:rsidR="00CB627D" w:rsidRPr="00CB61CD" w:rsidRDefault="004A44E7" w:rsidP="00CB627D">
            <w:pPr>
              <w:spacing w:line="252" w:lineRule="auto"/>
              <w:rPr>
                <w:rFonts w:ascii="Arial" w:hAnsi="Arial" w:cs="Arial"/>
                <w:sz w:val="18"/>
                <w:szCs w:val="18"/>
                <w:highlight w:val="yellow"/>
              </w:rPr>
            </w:pPr>
            <w:r>
              <w:rPr>
                <w:rFonts w:ascii="Arial" w:hAnsi="Arial" w:cs="Arial"/>
                <w:sz w:val="18"/>
                <w:szCs w:val="18"/>
                <w:lang w:val="en-US"/>
              </w:rPr>
              <w:t>Fixed Interest Bond Fund</w:t>
            </w:r>
          </w:p>
        </w:tc>
        <w:tc>
          <w:tcPr>
            <w:tcW w:w="1113" w:type="dxa"/>
            <w:vAlign w:val="center"/>
          </w:tcPr>
          <w:p w14:paraId="7D23B58F" w14:textId="05DB1765" w:rsidR="00CB627D" w:rsidRPr="00821792" w:rsidRDefault="00CB627D" w:rsidP="00CB627D">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151E13">
              <w:rPr>
                <w:rFonts w:ascii="Arial" w:hAnsi="Arial" w:cs="Arial"/>
                <w:sz w:val="18"/>
                <w:szCs w:val="18"/>
              </w:rPr>
              <w:t>105</w:t>
            </w:r>
          </w:p>
        </w:tc>
        <w:tc>
          <w:tcPr>
            <w:tcW w:w="1260" w:type="dxa"/>
            <w:vAlign w:val="center"/>
          </w:tcPr>
          <w:p w14:paraId="5DF929C1" w14:textId="411D4001" w:rsidR="00CB627D" w:rsidRPr="00821792" w:rsidRDefault="00CB627D" w:rsidP="00CB627D">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151E13">
              <w:rPr>
                <w:rFonts w:ascii="Arial" w:hAnsi="Arial" w:cs="Arial"/>
                <w:sz w:val="18"/>
                <w:szCs w:val="18"/>
              </w:rPr>
              <w:t>3,742</w:t>
            </w:r>
          </w:p>
        </w:tc>
        <w:tc>
          <w:tcPr>
            <w:tcW w:w="5746" w:type="dxa"/>
            <w:vAlign w:val="center"/>
          </w:tcPr>
          <w:p w14:paraId="0E3C4442" w14:textId="2BAA7406" w:rsidR="00CB627D" w:rsidRPr="00F8173C" w:rsidRDefault="00CB627D" w:rsidP="004A44E7">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8173C">
              <w:rPr>
                <w:rFonts w:ascii="Arial" w:hAnsi="Arial" w:cs="Arial"/>
                <w:sz w:val="18"/>
                <w:szCs w:val="18"/>
              </w:rPr>
              <w:t>Environment -</w:t>
            </w:r>
            <w:r w:rsidR="004A44E7">
              <w:rPr>
                <w:rFonts w:ascii="Arial" w:hAnsi="Arial" w:cs="Arial"/>
                <w:sz w:val="18"/>
                <w:szCs w:val="18"/>
              </w:rPr>
              <w:t xml:space="preserve"> </w:t>
            </w:r>
            <w:r w:rsidRPr="00F8173C">
              <w:rPr>
                <w:rFonts w:ascii="Arial" w:hAnsi="Arial" w:cs="Arial"/>
                <w:sz w:val="18"/>
                <w:szCs w:val="18"/>
              </w:rPr>
              <w:t>Climate Risk Management</w:t>
            </w:r>
            <w:r w:rsidRPr="00151E13">
              <w:rPr>
                <w:rFonts w:ascii="Arial" w:hAnsi="Arial" w:cs="Arial"/>
                <w:sz w:val="18"/>
                <w:szCs w:val="18"/>
              </w:rPr>
              <w:t>,</w:t>
            </w:r>
            <w:r w:rsidRPr="00F8173C">
              <w:t xml:space="preserve"> </w:t>
            </w:r>
            <w:r w:rsidRPr="00F8173C">
              <w:rPr>
                <w:rFonts w:ascii="Arial" w:hAnsi="Arial" w:cs="Arial"/>
                <w:sz w:val="18"/>
                <w:szCs w:val="18"/>
              </w:rPr>
              <w:t>Other company impacts on the environment.</w:t>
            </w:r>
          </w:p>
          <w:p w14:paraId="3913611B" w14:textId="54C83B08" w:rsidR="00CB627D" w:rsidRPr="00F8173C" w:rsidRDefault="00CB627D" w:rsidP="004A44E7">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8173C">
              <w:rPr>
                <w:rFonts w:ascii="Arial" w:hAnsi="Arial" w:cs="Arial"/>
                <w:sz w:val="18"/>
                <w:szCs w:val="18"/>
              </w:rPr>
              <w:t>Social -</w:t>
            </w:r>
            <w:r w:rsidR="004A44E7">
              <w:rPr>
                <w:rFonts w:ascii="Arial" w:hAnsi="Arial" w:cs="Arial"/>
                <w:sz w:val="18"/>
                <w:szCs w:val="18"/>
              </w:rPr>
              <w:t xml:space="preserve"> </w:t>
            </w:r>
            <w:r w:rsidRPr="00F8173C">
              <w:rPr>
                <w:rFonts w:ascii="Arial" w:hAnsi="Arial" w:cs="Arial"/>
                <w:sz w:val="18"/>
                <w:szCs w:val="18"/>
              </w:rPr>
              <w:t>Human Capital Management,</w:t>
            </w:r>
            <w:r w:rsidRPr="00F8173C">
              <w:t xml:space="preserve"> </w:t>
            </w:r>
            <w:r w:rsidRPr="00F8173C">
              <w:rPr>
                <w:rFonts w:ascii="Arial" w:hAnsi="Arial" w:cs="Arial"/>
                <w:sz w:val="18"/>
                <w:szCs w:val="18"/>
              </w:rPr>
              <w:t>Social Risks and Opportunities</w:t>
            </w:r>
          </w:p>
          <w:p w14:paraId="3AC3C63A" w14:textId="201B299B" w:rsidR="00CB627D" w:rsidRPr="00821792" w:rsidRDefault="00CB627D" w:rsidP="004A44E7">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F8173C">
              <w:rPr>
                <w:rFonts w:ascii="Arial" w:hAnsi="Arial" w:cs="Arial"/>
                <w:sz w:val="18"/>
                <w:szCs w:val="18"/>
              </w:rPr>
              <w:t>Governance -</w:t>
            </w:r>
            <w:r w:rsidR="004A44E7">
              <w:rPr>
                <w:rFonts w:ascii="Arial" w:hAnsi="Arial" w:cs="Arial"/>
                <w:sz w:val="18"/>
                <w:szCs w:val="18"/>
              </w:rPr>
              <w:t xml:space="preserve"> </w:t>
            </w:r>
            <w:r w:rsidRPr="00F8173C">
              <w:rPr>
                <w:rFonts w:ascii="Arial" w:hAnsi="Arial" w:cs="Arial"/>
                <w:sz w:val="18"/>
                <w:szCs w:val="18"/>
              </w:rPr>
              <w:t>Corporate Strategy,</w:t>
            </w:r>
            <w:r w:rsidRPr="00F8173C">
              <w:t xml:space="preserve"> </w:t>
            </w:r>
            <w:r w:rsidRPr="00F8173C">
              <w:rPr>
                <w:rFonts w:ascii="Arial" w:hAnsi="Arial" w:cs="Arial"/>
                <w:sz w:val="18"/>
                <w:szCs w:val="18"/>
              </w:rPr>
              <w:t>Business Oversight/Risk Management,</w:t>
            </w:r>
            <w:r w:rsidRPr="00F8173C">
              <w:t xml:space="preserve"> </w:t>
            </w:r>
            <w:r w:rsidRPr="00F8173C">
              <w:rPr>
                <w:rFonts w:ascii="Arial" w:hAnsi="Arial" w:cs="Arial"/>
                <w:sz w:val="18"/>
                <w:szCs w:val="18"/>
              </w:rPr>
              <w:t>Board Composition and Effectiveness,</w:t>
            </w:r>
            <w:r w:rsidRPr="00F8173C">
              <w:t xml:space="preserve"> </w:t>
            </w:r>
            <w:r w:rsidRPr="00F8173C">
              <w:rPr>
                <w:rFonts w:ascii="Arial" w:hAnsi="Arial" w:cs="Arial"/>
                <w:sz w:val="18"/>
                <w:szCs w:val="18"/>
              </w:rPr>
              <w:t>Sustainability Reporting</w:t>
            </w:r>
          </w:p>
        </w:tc>
      </w:tr>
      <w:tr w:rsidR="00B405A4" w:rsidRPr="00821792" w14:paraId="5481E339" w14:textId="77777777" w:rsidTr="00A015AA">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70922F9" w14:textId="008A1F5C" w:rsidR="00B405A4" w:rsidRPr="00CB61CD" w:rsidRDefault="00726C80" w:rsidP="00186C80">
            <w:pPr>
              <w:spacing w:line="252" w:lineRule="auto"/>
              <w:rPr>
                <w:rFonts w:ascii="Arial" w:hAnsi="Arial" w:cs="Arial"/>
                <w:sz w:val="18"/>
                <w:szCs w:val="18"/>
                <w:highlight w:val="yellow"/>
              </w:rPr>
            </w:pPr>
            <w:r w:rsidRPr="004A44E7">
              <w:rPr>
                <w:rFonts w:ascii="Arial" w:hAnsi="Arial" w:cs="Arial"/>
                <w:sz w:val="18"/>
                <w:szCs w:val="18"/>
              </w:rPr>
              <w:t>Dodge &amp; Cox Worldwide Fund Global Bond Fund</w:t>
            </w:r>
          </w:p>
        </w:tc>
        <w:tc>
          <w:tcPr>
            <w:tcW w:w="1113" w:type="dxa"/>
            <w:vAlign w:val="center"/>
          </w:tcPr>
          <w:p w14:paraId="248F6787" w14:textId="6B3852DD" w:rsidR="00B405A4" w:rsidRPr="005D06F1" w:rsidRDefault="00AF2A5A" w:rsidP="00186C80">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06F1">
              <w:rPr>
                <w:rFonts w:ascii="Arial" w:hAnsi="Arial" w:cs="Arial"/>
                <w:sz w:val="18"/>
                <w:szCs w:val="18"/>
              </w:rPr>
              <w:t>Not provided</w:t>
            </w:r>
          </w:p>
        </w:tc>
        <w:tc>
          <w:tcPr>
            <w:tcW w:w="1260" w:type="dxa"/>
            <w:vAlign w:val="center"/>
          </w:tcPr>
          <w:p w14:paraId="2C835AF2" w14:textId="6ACFCD4A" w:rsidR="00B405A4" w:rsidRPr="005D06F1" w:rsidRDefault="00AF2A5A" w:rsidP="00186C80">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06F1">
              <w:rPr>
                <w:rFonts w:ascii="Arial" w:hAnsi="Arial" w:cs="Arial"/>
                <w:sz w:val="18"/>
                <w:szCs w:val="18"/>
              </w:rPr>
              <w:t>Not provided</w:t>
            </w:r>
          </w:p>
        </w:tc>
        <w:tc>
          <w:tcPr>
            <w:tcW w:w="5746" w:type="dxa"/>
            <w:vAlign w:val="center"/>
          </w:tcPr>
          <w:p w14:paraId="4644B288" w14:textId="4DE1AE84" w:rsidR="00B405A4" w:rsidRPr="00821792" w:rsidRDefault="007948CB" w:rsidP="004A44E7">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F8173C">
              <w:rPr>
                <w:rFonts w:ascii="Arial" w:hAnsi="Arial" w:cs="Arial"/>
                <w:sz w:val="18"/>
                <w:szCs w:val="18"/>
              </w:rPr>
              <w:t xml:space="preserve">Social </w:t>
            </w:r>
            <w:r w:rsidR="004A44E7">
              <w:rPr>
                <w:rFonts w:ascii="Arial" w:hAnsi="Arial" w:cs="Arial"/>
                <w:sz w:val="18"/>
                <w:szCs w:val="18"/>
              </w:rPr>
              <w:t xml:space="preserve">- </w:t>
            </w:r>
            <w:r>
              <w:rPr>
                <w:rFonts w:ascii="Arial" w:hAnsi="Arial" w:cs="Arial"/>
                <w:sz w:val="18"/>
                <w:szCs w:val="18"/>
              </w:rPr>
              <w:t xml:space="preserve">Compensation Plan, Executive </w:t>
            </w:r>
            <w:r w:rsidR="00C91146">
              <w:rPr>
                <w:rFonts w:ascii="Arial" w:hAnsi="Arial" w:cs="Arial"/>
                <w:sz w:val="18"/>
                <w:szCs w:val="18"/>
              </w:rPr>
              <w:t>C</w:t>
            </w:r>
            <w:r>
              <w:rPr>
                <w:rFonts w:ascii="Arial" w:hAnsi="Arial" w:cs="Arial"/>
                <w:sz w:val="18"/>
                <w:szCs w:val="18"/>
              </w:rPr>
              <w:t>ompensation</w:t>
            </w:r>
            <w:r w:rsidR="00AF2A5A">
              <w:rPr>
                <w:rFonts w:ascii="Arial" w:hAnsi="Arial" w:cs="Arial"/>
                <w:sz w:val="18"/>
                <w:szCs w:val="18"/>
              </w:rPr>
              <w:t xml:space="preserve">, </w:t>
            </w:r>
            <w:r w:rsidR="00C91146">
              <w:rPr>
                <w:rFonts w:ascii="Arial" w:hAnsi="Arial" w:cs="Arial"/>
                <w:sz w:val="18"/>
                <w:szCs w:val="18"/>
              </w:rPr>
              <w:t>B</w:t>
            </w:r>
            <w:r w:rsidR="00AF2A5A">
              <w:rPr>
                <w:rFonts w:ascii="Arial" w:hAnsi="Arial" w:cs="Arial"/>
                <w:sz w:val="18"/>
                <w:szCs w:val="18"/>
              </w:rPr>
              <w:t xml:space="preserve">oard </w:t>
            </w:r>
            <w:r w:rsidR="00C91146">
              <w:rPr>
                <w:rFonts w:ascii="Arial" w:hAnsi="Arial" w:cs="Arial"/>
                <w:sz w:val="18"/>
                <w:szCs w:val="18"/>
              </w:rPr>
              <w:t>C</w:t>
            </w:r>
            <w:r w:rsidR="00AF2A5A">
              <w:rPr>
                <w:rFonts w:ascii="Arial" w:hAnsi="Arial" w:cs="Arial"/>
                <w:sz w:val="18"/>
                <w:szCs w:val="18"/>
              </w:rPr>
              <w:t>omp</w:t>
            </w:r>
            <w:r w:rsidR="0034396E">
              <w:rPr>
                <w:rFonts w:ascii="Arial" w:hAnsi="Arial" w:cs="Arial"/>
                <w:sz w:val="18"/>
                <w:szCs w:val="18"/>
              </w:rPr>
              <w:t>o</w:t>
            </w:r>
            <w:r w:rsidR="00AF2A5A">
              <w:rPr>
                <w:rFonts w:ascii="Arial" w:hAnsi="Arial" w:cs="Arial"/>
                <w:sz w:val="18"/>
                <w:szCs w:val="18"/>
              </w:rPr>
              <w:t>s</w:t>
            </w:r>
            <w:r w:rsidR="0034396E">
              <w:rPr>
                <w:rFonts w:ascii="Arial" w:hAnsi="Arial" w:cs="Arial"/>
                <w:sz w:val="18"/>
                <w:szCs w:val="18"/>
              </w:rPr>
              <w:t>i</w:t>
            </w:r>
            <w:r w:rsidR="00AF2A5A">
              <w:rPr>
                <w:rFonts w:ascii="Arial" w:hAnsi="Arial" w:cs="Arial"/>
                <w:sz w:val="18"/>
                <w:szCs w:val="18"/>
              </w:rPr>
              <w:t>tion. Animal Health</w:t>
            </w:r>
          </w:p>
        </w:tc>
      </w:tr>
      <w:tr w:rsidR="00B405A4" w:rsidRPr="00821792" w14:paraId="2B0065DB" w14:textId="77777777" w:rsidTr="00A015AA">
        <w:trPr>
          <w:trHeight w:val="181"/>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5F6D70E" w14:textId="618B1B4A" w:rsidR="00B405A4" w:rsidRPr="00CB61CD" w:rsidRDefault="00634B2A" w:rsidP="00186C80">
            <w:pPr>
              <w:spacing w:line="252" w:lineRule="auto"/>
              <w:rPr>
                <w:rFonts w:ascii="Arial" w:hAnsi="Arial" w:cs="Arial"/>
                <w:sz w:val="18"/>
                <w:szCs w:val="18"/>
                <w:highlight w:val="yellow"/>
              </w:rPr>
            </w:pPr>
            <w:r w:rsidRPr="004A44E7">
              <w:rPr>
                <w:rFonts w:ascii="Arial" w:hAnsi="Arial" w:cs="Arial"/>
                <w:sz w:val="18"/>
                <w:szCs w:val="18"/>
              </w:rPr>
              <w:t>M&amp;G Public Debt</w:t>
            </w:r>
            <w:r w:rsidR="004A44E7">
              <w:rPr>
                <w:rFonts w:ascii="Arial" w:hAnsi="Arial" w:cs="Arial"/>
                <w:sz w:val="18"/>
                <w:szCs w:val="18"/>
              </w:rPr>
              <w:t xml:space="preserve"> Fund</w:t>
            </w:r>
          </w:p>
        </w:tc>
        <w:tc>
          <w:tcPr>
            <w:tcW w:w="1113" w:type="dxa"/>
            <w:vAlign w:val="center"/>
          </w:tcPr>
          <w:p w14:paraId="39A4E34B" w14:textId="79B2CB37" w:rsidR="00B405A4" w:rsidRPr="005D06F1" w:rsidRDefault="00634B2A" w:rsidP="00186C80">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06F1">
              <w:rPr>
                <w:rFonts w:ascii="Arial" w:hAnsi="Arial" w:cs="Arial"/>
                <w:sz w:val="18"/>
                <w:szCs w:val="18"/>
              </w:rPr>
              <w:t>9</w:t>
            </w:r>
          </w:p>
        </w:tc>
        <w:tc>
          <w:tcPr>
            <w:tcW w:w="1260" w:type="dxa"/>
            <w:vAlign w:val="center"/>
          </w:tcPr>
          <w:p w14:paraId="05B0785C" w14:textId="5B2AE428" w:rsidR="00B405A4" w:rsidRPr="005D06F1" w:rsidRDefault="00634B2A" w:rsidP="00186C80">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D06F1">
              <w:rPr>
                <w:rFonts w:ascii="Arial" w:hAnsi="Arial" w:cs="Arial"/>
                <w:sz w:val="18"/>
                <w:szCs w:val="18"/>
              </w:rPr>
              <w:t>331</w:t>
            </w:r>
          </w:p>
        </w:tc>
        <w:tc>
          <w:tcPr>
            <w:tcW w:w="5746" w:type="dxa"/>
            <w:vAlign w:val="center"/>
          </w:tcPr>
          <w:p w14:paraId="55BF5741" w14:textId="177FB105" w:rsidR="00B405A4" w:rsidRDefault="00634B2A" w:rsidP="004A44E7">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634B2A">
              <w:rPr>
                <w:rFonts w:ascii="Arial" w:hAnsi="Arial" w:cs="Arial"/>
                <w:sz w:val="18"/>
                <w:szCs w:val="18"/>
              </w:rPr>
              <w:t>Environment - Climate change</w:t>
            </w:r>
          </w:p>
          <w:p w14:paraId="0F709BDA" w14:textId="77777777" w:rsidR="00634B2A" w:rsidRDefault="00634B2A" w:rsidP="004A44E7">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34B2A">
              <w:rPr>
                <w:rFonts w:ascii="Arial" w:hAnsi="Arial" w:cs="Arial"/>
                <w:sz w:val="18"/>
                <w:szCs w:val="18"/>
              </w:rPr>
              <w:t>Social - Human capital management (e.g. inclusion &amp; diversity, employee terms, safety)</w:t>
            </w:r>
          </w:p>
          <w:p w14:paraId="5E06192B" w14:textId="347586A9" w:rsidR="00634B2A" w:rsidRPr="00821792" w:rsidRDefault="00634B2A" w:rsidP="004A44E7">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634B2A">
              <w:rPr>
                <w:rFonts w:ascii="Arial" w:hAnsi="Arial" w:cs="Arial"/>
                <w:sz w:val="18"/>
                <w:szCs w:val="18"/>
              </w:rPr>
              <w:t>Governance - Board effectiveness - Independence or Oversight</w:t>
            </w:r>
            <w:r>
              <w:rPr>
                <w:rFonts w:ascii="Arial" w:hAnsi="Arial" w:cs="Arial"/>
                <w:sz w:val="18"/>
                <w:szCs w:val="18"/>
              </w:rPr>
              <w:t>, Remuneration</w:t>
            </w:r>
          </w:p>
        </w:tc>
      </w:tr>
      <w:tr w:rsidR="00B405A4" w:rsidRPr="00821792" w14:paraId="5682BB96" w14:textId="77777777" w:rsidTr="00A015AA">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950573A" w14:textId="30A2C844" w:rsidR="00B405A4" w:rsidRPr="00CB61CD" w:rsidRDefault="00242AC2" w:rsidP="00186C80">
            <w:pPr>
              <w:spacing w:line="252" w:lineRule="auto"/>
              <w:rPr>
                <w:rFonts w:ascii="Arial" w:hAnsi="Arial" w:cs="Arial"/>
                <w:sz w:val="18"/>
                <w:szCs w:val="18"/>
              </w:rPr>
            </w:pPr>
            <w:r w:rsidRPr="004A44E7">
              <w:rPr>
                <w:rFonts w:ascii="Arial" w:hAnsi="Arial" w:cs="Arial"/>
                <w:sz w:val="18"/>
                <w:szCs w:val="18"/>
              </w:rPr>
              <w:t>Western Asset Management</w:t>
            </w:r>
            <w:r w:rsidR="004A44E7" w:rsidRPr="004A44E7">
              <w:rPr>
                <w:rFonts w:ascii="Arial" w:hAnsi="Arial" w:cs="Arial"/>
                <w:sz w:val="18"/>
                <w:szCs w:val="18"/>
              </w:rPr>
              <w:t xml:space="preserve"> </w:t>
            </w:r>
            <w:r w:rsidRPr="004A44E7">
              <w:rPr>
                <w:rFonts w:ascii="Arial" w:hAnsi="Arial" w:cs="Arial"/>
                <w:sz w:val="18"/>
                <w:szCs w:val="18"/>
              </w:rPr>
              <w:t>Multi-Asset Credit</w:t>
            </w:r>
            <w:r w:rsidR="004A44E7">
              <w:rPr>
                <w:rFonts w:ascii="Arial" w:hAnsi="Arial" w:cs="Arial"/>
                <w:sz w:val="18"/>
                <w:szCs w:val="18"/>
              </w:rPr>
              <w:t xml:space="preserve"> Fund</w:t>
            </w:r>
          </w:p>
        </w:tc>
        <w:tc>
          <w:tcPr>
            <w:tcW w:w="1113" w:type="dxa"/>
            <w:vAlign w:val="center"/>
          </w:tcPr>
          <w:p w14:paraId="2A2F2FA7" w14:textId="3643ABB0" w:rsidR="00B405A4" w:rsidRPr="005D06F1" w:rsidRDefault="00242AC2" w:rsidP="00186C80">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06F1">
              <w:rPr>
                <w:rFonts w:ascii="Arial" w:hAnsi="Arial" w:cs="Arial"/>
                <w:sz w:val="18"/>
                <w:szCs w:val="18"/>
              </w:rPr>
              <w:t>18</w:t>
            </w:r>
          </w:p>
        </w:tc>
        <w:tc>
          <w:tcPr>
            <w:tcW w:w="1260" w:type="dxa"/>
            <w:vAlign w:val="center"/>
          </w:tcPr>
          <w:p w14:paraId="6F43DC80" w14:textId="5D1E3E07" w:rsidR="00B405A4" w:rsidRPr="005D06F1" w:rsidRDefault="00242AC2" w:rsidP="00186C80">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D06F1">
              <w:rPr>
                <w:rFonts w:ascii="Arial" w:hAnsi="Arial" w:cs="Arial"/>
                <w:sz w:val="18"/>
                <w:szCs w:val="18"/>
              </w:rPr>
              <w:t>129</w:t>
            </w:r>
          </w:p>
        </w:tc>
        <w:tc>
          <w:tcPr>
            <w:tcW w:w="5746" w:type="dxa"/>
            <w:vAlign w:val="center"/>
          </w:tcPr>
          <w:p w14:paraId="75FF0787" w14:textId="6C3E6A22" w:rsidR="00B405A4" w:rsidRDefault="00242AC2" w:rsidP="004A44E7">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42AC2">
              <w:rPr>
                <w:rFonts w:ascii="Arial" w:hAnsi="Arial" w:cs="Arial"/>
                <w:sz w:val="18"/>
                <w:szCs w:val="18"/>
              </w:rPr>
              <w:t>Environment - Climate change</w:t>
            </w:r>
          </w:p>
          <w:p w14:paraId="2F403264" w14:textId="77777777" w:rsidR="00242AC2" w:rsidRDefault="00242AC2" w:rsidP="004A44E7">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42AC2">
              <w:rPr>
                <w:rFonts w:ascii="Arial" w:hAnsi="Arial" w:cs="Arial"/>
                <w:sz w:val="18"/>
                <w:szCs w:val="18"/>
              </w:rPr>
              <w:t>Social - Human and labour rights (e.g. supply chain rights, community relations)</w:t>
            </w:r>
            <w:r>
              <w:rPr>
                <w:rFonts w:ascii="Arial" w:hAnsi="Arial" w:cs="Arial"/>
                <w:sz w:val="18"/>
                <w:szCs w:val="18"/>
              </w:rPr>
              <w:t>,</w:t>
            </w:r>
            <w:r>
              <w:t xml:space="preserve"> </w:t>
            </w:r>
            <w:r w:rsidRPr="00242AC2">
              <w:rPr>
                <w:rFonts w:ascii="Arial" w:hAnsi="Arial" w:cs="Arial"/>
                <w:sz w:val="18"/>
                <w:szCs w:val="18"/>
              </w:rPr>
              <w:t>Human capital management (e.g. inclusion &amp; diversity, employee terms, safety)</w:t>
            </w:r>
          </w:p>
          <w:p w14:paraId="3F4E2033" w14:textId="708AD1A9" w:rsidR="00242AC2" w:rsidRDefault="00242AC2" w:rsidP="004A44E7">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42AC2">
              <w:rPr>
                <w:rFonts w:ascii="Arial" w:hAnsi="Arial" w:cs="Arial"/>
                <w:sz w:val="18"/>
                <w:szCs w:val="18"/>
              </w:rPr>
              <w:t xml:space="preserve">Governance - Board effectiveness </w:t>
            </w:r>
            <w:r w:rsidR="004A44E7">
              <w:rPr>
                <w:rFonts w:ascii="Arial" w:hAnsi="Arial" w:cs="Arial"/>
                <w:sz w:val="18"/>
                <w:szCs w:val="18"/>
              </w:rPr>
              <w:t xml:space="preserve">- </w:t>
            </w:r>
            <w:r w:rsidRPr="00242AC2">
              <w:rPr>
                <w:rFonts w:ascii="Arial" w:hAnsi="Arial" w:cs="Arial"/>
                <w:sz w:val="18"/>
                <w:szCs w:val="18"/>
              </w:rPr>
              <w:t>Other</w:t>
            </w:r>
          </w:p>
          <w:p w14:paraId="196F1B9B" w14:textId="4A4BC530" w:rsidR="00242AC2" w:rsidRPr="00821792" w:rsidRDefault="00242AC2" w:rsidP="004A44E7">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r w:rsidRPr="00242AC2">
              <w:rPr>
                <w:rFonts w:ascii="Arial" w:hAnsi="Arial" w:cs="Arial"/>
                <w:sz w:val="18"/>
                <w:szCs w:val="18"/>
              </w:rPr>
              <w:t>Strategy, Financial and Reporting - Reporting (e.g. audit, accounting, sustainability reporting)</w:t>
            </w:r>
          </w:p>
        </w:tc>
      </w:tr>
    </w:tbl>
    <w:p w14:paraId="0F860D02" w14:textId="5DF19011" w:rsidR="00672F55" w:rsidRPr="005D06F1" w:rsidRDefault="00EB2B9C" w:rsidP="00242AC2">
      <w:pPr>
        <w:spacing w:after="0" w:line="252" w:lineRule="auto"/>
        <w:jc w:val="both"/>
        <w:rPr>
          <w:rFonts w:ascii="Arial" w:eastAsia="Arial" w:hAnsi="Arial" w:cs="Arial"/>
          <w:i/>
          <w:iCs/>
          <w:sz w:val="16"/>
          <w:szCs w:val="16"/>
        </w:rPr>
      </w:pPr>
      <w:r w:rsidRPr="00242AC2">
        <w:rPr>
          <w:rFonts w:ascii="Arial" w:hAnsi="Arial" w:cs="Arial"/>
          <w:i/>
          <w:iCs/>
          <w:sz w:val="16"/>
          <w:szCs w:val="16"/>
        </w:rPr>
        <w:t xml:space="preserve">Source: </w:t>
      </w:r>
      <w:r w:rsidR="009C0F83" w:rsidRPr="005D06F1">
        <w:rPr>
          <w:rFonts w:ascii="Arial" w:eastAsia="Arial" w:hAnsi="Arial" w:cs="Arial"/>
          <w:i/>
          <w:iCs/>
          <w:sz w:val="16"/>
          <w:szCs w:val="16"/>
        </w:rPr>
        <w:t>Managers</w:t>
      </w:r>
      <w:r w:rsidR="00672F55" w:rsidRPr="005D06F1">
        <w:rPr>
          <w:rFonts w:ascii="Arial" w:eastAsia="Arial" w:hAnsi="Arial" w:cs="Arial"/>
          <w:i/>
          <w:iCs/>
          <w:sz w:val="16"/>
          <w:szCs w:val="16"/>
        </w:rPr>
        <w:t>.</w:t>
      </w:r>
      <w:r w:rsidR="00A015AA" w:rsidRPr="005D06F1">
        <w:rPr>
          <w:rFonts w:ascii="Arial" w:eastAsia="Arial" w:hAnsi="Arial" w:cs="Arial"/>
          <w:i/>
          <w:iCs/>
          <w:sz w:val="16"/>
          <w:szCs w:val="16"/>
        </w:rPr>
        <w:t xml:space="preserve"> </w:t>
      </w:r>
      <w:r w:rsidR="00242AC2" w:rsidRPr="00242AC2">
        <w:rPr>
          <w:rFonts w:ascii="Arial" w:eastAsia="Arial" w:hAnsi="Arial" w:cs="Arial"/>
          <w:i/>
          <w:iCs/>
          <w:sz w:val="16"/>
          <w:szCs w:val="16"/>
        </w:rPr>
        <w:t xml:space="preserve">Dodge &amp; Cox </w:t>
      </w:r>
      <w:r w:rsidR="00672F55" w:rsidRPr="005D06F1">
        <w:rPr>
          <w:rFonts w:ascii="Arial" w:eastAsia="Arial" w:hAnsi="Arial" w:cs="Arial"/>
          <w:i/>
          <w:iCs/>
          <w:sz w:val="16"/>
          <w:szCs w:val="16"/>
        </w:rPr>
        <w:t>did not provide fund level themes; themes provided are at a firm-level</w:t>
      </w:r>
      <w:r w:rsidR="00242AC2" w:rsidRPr="005D06F1">
        <w:rPr>
          <w:rFonts w:ascii="Arial" w:eastAsia="Arial" w:hAnsi="Arial" w:cs="Arial"/>
          <w:i/>
          <w:iCs/>
          <w:sz w:val="16"/>
          <w:szCs w:val="16"/>
        </w:rPr>
        <w:t>.</w:t>
      </w:r>
    </w:p>
    <w:p w14:paraId="2C7763DD" w14:textId="387CDCDC" w:rsidR="00900290" w:rsidRDefault="00900290" w:rsidP="00874132">
      <w:pPr>
        <w:spacing w:after="0" w:line="252" w:lineRule="auto"/>
        <w:jc w:val="both"/>
        <w:rPr>
          <w:rFonts w:ascii="Arial" w:hAnsi="Arial" w:cs="Arial"/>
          <w:sz w:val="20"/>
          <w:szCs w:val="20"/>
        </w:rPr>
      </w:pPr>
    </w:p>
    <w:p w14:paraId="27804691" w14:textId="26F9FE28" w:rsidR="00B874FC" w:rsidRPr="00CD0B21" w:rsidRDefault="009C71C6" w:rsidP="00874132">
      <w:pPr>
        <w:spacing w:line="252" w:lineRule="auto"/>
        <w:rPr>
          <w:rFonts w:ascii="Arial" w:hAnsi="Arial" w:cs="Arial"/>
          <w:sz w:val="28"/>
          <w:szCs w:val="28"/>
        </w:rPr>
      </w:pPr>
      <w:r w:rsidRPr="00CD0B21">
        <w:rPr>
          <w:rFonts w:ascii="Arial" w:hAnsi="Arial" w:cs="Arial"/>
          <w:sz w:val="28"/>
          <w:szCs w:val="28"/>
        </w:rPr>
        <w:t>Data limitations</w:t>
      </w:r>
    </w:p>
    <w:p w14:paraId="6F0BE315" w14:textId="6F990BBE" w:rsidR="0034396E" w:rsidRPr="005D06F1" w:rsidRDefault="00900290" w:rsidP="00CB61CD">
      <w:pPr>
        <w:spacing w:after="0" w:line="252" w:lineRule="auto"/>
        <w:ind w:right="2989"/>
        <w:rPr>
          <w:rFonts w:ascii="Arial" w:hAnsi="Arial" w:cs="Arial"/>
          <w:sz w:val="20"/>
          <w:szCs w:val="20"/>
        </w:rPr>
      </w:pPr>
      <w:r w:rsidRPr="005D06F1">
        <w:rPr>
          <w:rFonts w:ascii="Arial" w:hAnsi="Arial" w:cs="Arial"/>
          <w:sz w:val="20"/>
          <w:szCs w:val="20"/>
        </w:rPr>
        <w:t xml:space="preserve">At the time of writing, </w:t>
      </w:r>
      <w:r w:rsidR="00242AC2" w:rsidRPr="00242AC2">
        <w:rPr>
          <w:rFonts w:ascii="Arial" w:hAnsi="Arial" w:cs="Arial"/>
          <w:sz w:val="20"/>
          <w:szCs w:val="20"/>
        </w:rPr>
        <w:t>Dodge &amp; Cox did not provide</w:t>
      </w:r>
      <w:r w:rsidR="00E6009F">
        <w:rPr>
          <w:rFonts w:ascii="Arial" w:hAnsi="Arial" w:cs="Arial"/>
          <w:sz w:val="20"/>
          <w:szCs w:val="20"/>
        </w:rPr>
        <w:t xml:space="preserve"> information on the</w:t>
      </w:r>
      <w:r w:rsidR="00242AC2" w:rsidRPr="00242AC2">
        <w:rPr>
          <w:rFonts w:ascii="Arial" w:hAnsi="Arial" w:cs="Arial"/>
          <w:sz w:val="20"/>
          <w:szCs w:val="20"/>
        </w:rPr>
        <w:t xml:space="preserve"> n</w:t>
      </w:r>
      <w:r w:rsidR="0034396E">
        <w:rPr>
          <w:rFonts w:ascii="Arial" w:hAnsi="Arial" w:cs="Arial"/>
          <w:sz w:val="20"/>
          <w:szCs w:val="20"/>
        </w:rPr>
        <w:t>umber</w:t>
      </w:r>
      <w:r w:rsidR="00242AC2" w:rsidRPr="00242AC2">
        <w:rPr>
          <w:rFonts w:ascii="Arial" w:hAnsi="Arial" w:cs="Arial"/>
          <w:sz w:val="20"/>
          <w:szCs w:val="20"/>
        </w:rPr>
        <w:t xml:space="preserve"> of engagements</w:t>
      </w:r>
      <w:r w:rsidR="00E6009F">
        <w:rPr>
          <w:rFonts w:ascii="Arial" w:hAnsi="Arial" w:cs="Arial"/>
          <w:sz w:val="20"/>
          <w:szCs w:val="20"/>
        </w:rPr>
        <w:t xml:space="preserve"> conducted</w:t>
      </w:r>
      <w:r w:rsidR="00C91146">
        <w:rPr>
          <w:rFonts w:ascii="Arial" w:hAnsi="Arial" w:cs="Arial"/>
          <w:sz w:val="20"/>
          <w:szCs w:val="20"/>
        </w:rPr>
        <w:t>. A</w:t>
      </w:r>
      <w:r w:rsidR="00242AC2" w:rsidRPr="00242AC2">
        <w:rPr>
          <w:rFonts w:ascii="Arial" w:hAnsi="Arial" w:cs="Arial"/>
          <w:sz w:val="20"/>
          <w:szCs w:val="20"/>
        </w:rPr>
        <w:t>dditionally</w:t>
      </w:r>
      <w:r w:rsidR="00C91146">
        <w:rPr>
          <w:rFonts w:ascii="Arial" w:hAnsi="Arial" w:cs="Arial"/>
          <w:sz w:val="20"/>
          <w:szCs w:val="20"/>
        </w:rPr>
        <w:t>,</w:t>
      </w:r>
      <w:r w:rsidR="00242AC2" w:rsidRPr="00242AC2">
        <w:rPr>
          <w:rFonts w:ascii="Arial" w:hAnsi="Arial" w:cs="Arial"/>
          <w:sz w:val="20"/>
          <w:szCs w:val="20"/>
        </w:rPr>
        <w:t xml:space="preserve"> </w:t>
      </w:r>
      <w:r w:rsidR="00E6009F">
        <w:rPr>
          <w:rFonts w:ascii="Arial" w:hAnsi="Arial" w:cs="Arial"/>
          <w:sz w:val="20"/>
          <w:szCs w:val="20"/>
        </w:rPr>
        <w:t>the manager</w:t>
      </w:r>
      <w:r w:rsidR="00242AC2" w:rsidRPr="00242AC2">
        <w:rPr>
          <w:rFonts w:ascii="Arial" w:hAnsi="Arial" w:cs="Arial"/>
          <w:sz w:val="20"/>
          <w:szCs w:val="20"/>
        </w:rPr>
        <w:t xml:space="preserve"> did not provide fund level </w:t>
      </w:r>
      <w:r w:rsidR="00E6009F">
        <w:rPr>
          <w:rFonts w:ascii="Arial" w:hAnsi="Arial" w:cs="Arial"/>
          <w:sz w:val="20"/>
          <w:szCs w:val="20"/>
        </w:rPr>
        <w:t xml:space="preserve">engagement </w:t>
      </w:r>
      <w:r w:rsidR="00242AC2" w:rsidRPr="00242AC2">
        <w:rPr>
          <w:rFonts w:ascii="Arial" w:hAnsi="Arial" w:cs="Arial"/>
          <w:sz w:val="20"/>
          <w:szCs w:val="20"/>
        </w:rPr>
        <w:t>theme</w:t>
      </w:r>
      <w:r w:rsidR="00E6009F">
        <w:rPr>
          <w:rFonts w:ascii="Arial" w:hAnsi="Arial" w:cs="Arial"/>
          <w:sz w:val="20"/>
          <w:szCs w:val="20"/>
        </w:rPr>
        <w:t>s</w:t>
      </w:r>
      <w:r w:rsidR="00D03002">
        <w:rPr>
          <w:rFonts w:ascii="Arial" w:hAnsi="Arial" w:cs="Arial"/>
          <w:sz w:val="20"/>
          <w:szCs w:val="20"/>
        </w:rPr>
        <w:t xml:space="preserve">, the </w:t>
      </w:r>
      <w:r w:rsidR="00242AC2" w:rsidRPr="00242AC2">
        <w:rPr>
          <w:rFonts w:ascii="Arial" w:hAnsi="Arial" w:cs="Arial"/>
          <w:sz w:val="20"/>
          <w:szCs w:val="20"/>
        </w:rPr>
        <w:t xml:space="preserve">themes provided </w:t>
      </w:r>
      <w:r w:rsidR="00D03002">
        <w:rPr>
          <w:rFonts w:ascii="Arial" w:hAnsi="Arial" w:cs="Arial"/>
          <w:sz w:val="20"/>
          <w:szCs w:val="20"/>
        </w:rPr>
        <w:t>were</w:t>
      </w:r>
      <w:r w:rsidR="00242AC2" w:rsidRPr="00242AC2">
        <w:rPr>
          <w:rFonts w:ascii="Arial" w:hAnsi="Arial" w:cs="Arial"/>
          <w:sz w:val="20"/>
          <w:szCs w:val="20"/>
        </w:rPr>
        <w:t xml:space="preserve"> at a firm-level.</w:t>
      </w:r>
    </w:p>
    <w:p w14:paraId="3484FCA1" w14:textId="2DAB84F9" w:rsidR="00900290" w:rsidRDefault="00900290" w:rsidP="00CB61CD">
      <w:pPr>
        <w:spacing w:after="0" w:line="252" w:lineRule="auto"/>
        <w:ind w:right="2989"/>
        <w:rPr>
          <w:rFonts w:ascii="Arial" w:hAnsi="Arial" w:cs="Arial"/>
          <w:sz w:val="20"/>
          <w:szCs w:val="20"/>
        </w:rPr>
      </w:pPr>
    </w:p>
    <w:p w14:paraId="03E9D2B1" w14:textId="15C4A734" w:rsidR="008F2F6B" w:rsidRDefault="004A44E7" w:rsidP="00CB61CD">
      <w:pPr>
        <w:tabs>
          <w:tab w:val="left" w:pos="7088"/>
        </w:tabs>
        <w:spacing w:after="0" w:line="252" w:lineRule="auto"/>
        <w:ind w:right="3131"/>
        <w:rPr>
          <w:rFonts w:ascii="Arial" w:hAnsi="Arial" w:cs="Arial"/>
          <w:sz w:val="20"/>
          <w:szCs w:val="20"/>
        </w:rPr>
      </w:pPr>
      <w:r w:rsidRPr="00780194">
        <w:rPr>
          <w:rFonts w:ascii="Arial" w:hAnsi="Arial" w:cs="Arial"/>
          <w:sz w:val="20"/>
          <w:szCs w:val="20"/>
        </w:rPr>
        <w:t xml:space="preserve">This report does not include commentary on the </w:t>
      </w:r>
      <w:r>
        <w:rPr>
          <w:rFonts w:ascii="Arial" w:hAnsi="Arial" w:cs="Arial"/>
          <w:sz w:val="20"/>
          <w:szCs w:val="20"/>
        </w:rPr>
        <w:t>Scheme</w:t>
      </w:r>
      <w:r w:rsidRPr="00780194">
        <w:rPr>
          <w:rFonts w:ascii="Arial" w:hAnsi="Arial" w:cs="Arial"/>
          <w:sz w:val="20"/>
          <w:szCs w:val="20"/>
        </w:rPr>
        <w:t>’s investment in gilts</w:t>
      </w:r>
      <w:r>
        <w:rPr>
          <w:rFonts w:ascii="Arial" w:hAnsi="Arial" w:cs="Arial"/>
          <w:sz w:val="20"/>
          <w:szCs w:val="20"/>
        </w:rPr>
        <w:t xml:space="preserve"> and </w:t>
      </w:r>
      <w:r w:rsidRPr="00780194">
        <w:rPr>
          <w:rFonts w:ascii="Arial" w:hAnsi="Arial" w:cs="Arial"/>
          <w:sz w:val="20"/>
          <w:szCs w:val="20"/>
        </w:rPr>
        <w:t xml:space="preserve">cash because of the limited materiality of stewardship to these asset classes. </w:t>
      </w:r>
    </w:p>
    <w:p w14:paraId="636C315E" w14:textId="77777777" w:rsidR="008F2F6B" w:rsidRDefault="008F2F6B" w:rsidP="00D81E3F">
      <w:pPr>
        <w:spacing w:after="0" w:line="252" w:lineRule="auto"/>
        <w:jc w:val="both"/>
        <w:rPr>
          <w:rFonts w:ascii="Arial" w:hAnsi="Arial" w:cs="Arial"/>
          <w:i/>
          <w:iCs/>
          <w:sz w:val="16"/>
          <w:szCs w:val="16"/>
        </w:rPr>
      </w:pPr>
    </w:p>
    <w:sectPr w:rsidR="008F2F6B" w:rsidSect="008F2F6B">
      <w:pgSz w:w="11906" w:h="16838"/>
      <w:pgMar w:top="1440" w:right="83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74B1" w14:textId="77777777" w:rsidR="003B425B" w:rsidRDefault="003B425B" w:rsidP="00186C80">
      <w:pPr>
        <w:spacing w:after="0" w:line="240" w:lineRule="auto"/>
      </w:pPr>
      <w:r>
        <w:separator/>
      </w:r>
    </w:p>
  </w:endnote>
  <w:endnote w:type="continuationSeparator" w:id="0">
    <w:p w14:paraId="12D7D8E8" w14:textId="77777777" w:rsidR="003B425B" w:rsidRDefault="003B425B" w:rsidP="00186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141562"/>
      <w:docPartObj>
        <w:docPartGallery w:val="Page Numbers (Bottom of Page)"/>
        <w:docPartUnique/>
      </w:docPartObj>
    </w:sdtPr>
    <w:sdtEndPr>
      <w:rPr>
        <w:rFonts w:ascii="Arial" w:hAnsi="Arial" w:cs="Arial"/>
        <w:noProof/>
        <w:sz w:val="16"/>
        <w:szCs w:val="16"/>
      </w:rPr>
    </w:sdtEndPr>
    <w:sdtContent>
      <w:p w14:paraId="7A809866" w14:textId="726640F3" w:rsidR="00186C80" w:rsidRPr="00186C80" w:rsidRDefault="00186C80">
        <w:pPr>
          <w:pStyle w:val="Footer"/>
          <w:rPr>
            <w:rFonts w:ascii="Arial" w:hAnsi="Arial" w:cs="Arial"/>
            <w:sz w:val="16"/>
            <w:szCs w:val="16"/>
          </w:rPr>
        </w:pPr>
        <w:r w:rsidRPr="00186C80">
          <w:rPr>
            <w:rFonts w:ascii="Arial" w:hAnsi="Arial" w:cs="Arial"/>
            <w:sz w:val="16"/>
            <w:szCs w:val="16"/>
          </w:rPr>
          <w:fldChar w:fldCharType="begin"/>
        </w:r>
        <w:r w:rsidRPr="00186C80">
          <w:rPr>
            <w:rFonts w:ascii="Arial" w:hAnsi="Arial" w:cs="Arial"/>
            <w:sz w:val="16"/>
            <w:szCs w:val="16"/>
          </w:rPr>
          <w:instrText xml:space="preserve"> PAGE   \* MERGEFORMAT </w:instrText>
        </w:r>
        <w:r w:rsidRPr="00186C80">
          <w:rPr>
            <w:rFonts w:ascii="Arial" w:hAnsi="Arial" w:cs="Arial"/>
            <w:sz w:val="16"/>
            <w:szCs w:val="16"/>
          </w:rPr>
          <w:fldChar w:fldCharType="separate"/>
        </w:r>
        <w:r w:rsidRPr="00186C80">
          <w:rPr>
            <w:rFonts w:ascii="Arial" w:hAnsi="Arial" w:cs="Arial"/>
            <w:noProof/>
            <w:sz w:val="16"/>
            <w:szCs w:val="16"/>
          </w:rPr>
          <w:t>2</w:t>
        </w:r>
        <w:r w:rsidRPr="00186C80">
          <w:rPr>
            <w:rFonts w:ascii="Arial" w:hAnsi="Arial" w:cs="Arial"/>
            <w:noProof/>
            <w:sz w:val="16"/>
            <w:szCs w:val="16"/>
          </w:rPr>
          <w:fldChar w:fldCharType="end"/>
        </w:r>
      </w:p>
    </w:sdtContent>
  </w:sdt>
  <w:p w14:paraId="212A69DE" w14:textId="77777777" w:rsidR="00186C80" w:rsidRDefault="0018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1B9AD" w14:textId="77777777" w:rsidR="003B425B" w:rsidRDefault="003B425B" w:rsidP="00186C80">
      <w:pPr>
        <w:spacing w:after="0" w:line="240" w:lineRule="auto"/>
      </w:pPr>
      <w:r>
        <w:separator/>
      </w:r>
    </w:p>
  </w:footnote>
  <w:footnote w:type="continuationSeparator" w:id="0">
    <w:p w14:paraId="472898A6" w14:textId="77777777" w:rsidR="003B425B" w:rsidRDefault="003B425B" w:rsidP="00186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9CB"/>
    <w:multiLevelType w:val="hybridMultilevel"/>
    <w:tmpl w:val="6C9E5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C37A4"/>
    <w:multiLevelType w:val="hybridMultilevel"/>
    <w:tmpl w:val="9BEE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31E81"/>
    <w:multiLevelType w:val="hybridMultilevel"/>
    <w:tmpl w:val="FFCE3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111CE"/>
    <w:multiLevelType w:val="hybridMultilevel"/>
    <w:tmpl w:val="597A1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E45590"/>
    <w:multiLevelType w:val="hybridMultilevel"/>
    <w:tmpl w:val="6B366BB4"/>
    <w:lvl w:ilvl="0" w:tplc="4C5E3E4C">
      <w:start w:val="1"/>
      <w:numFmt w:val="bullet"/>
      <w:lvlText w:val="•"/>
      <w:lvlJc w:val="left"/>
      <w:pPr>
        <w:tabs>
          <w:tab w:val="num" w:pos="720"/>
        </w:tabs>
        <w:ind w:left="720" w:hanging="360"/>
      </w:pPr>
      <w:rPr>
        <w:rFonts w:ascii="Arial" w:hAnsi="Arial" w:cs="Times New Roman" w:hint="default"/>
      </w:rPr>
    </w:lvl>
    <w:lvl w:ilvl="1" w:tplc="5CA46F94">
      <w:start w:val="1"/>
      <w:numFmt w:val="bullet"/>
      <w:lvlText w:val="•"/>
      <w:lvlJc w:val="left"/>
      <w:pPr>
        <w:tabs>
          <w:tab w:val="num" w:pos="1440"/>
        </w:tabs>
        <w:ind w:left="1440" w:hanging="360"/>
      </w:pPr>
      <w:rPr>
        <w:rFonts w:ascii="Arial" w:hAnsi="Arial" w:cs="Times New Roman" w:hint="default"/>
      </w:rPr>
    </w:lvl>
    <w:lvl w:ilvl="2" w:tplc="05562D30">
      <w:start w:val="1"/>
      <w:numFmt w:val="bullet"/>
      <w:lvlText w:val="•"/>
      <w:lvlJc w:val="left"/>
      <w:pPr>
        <w:tabs>
          <w:tab w:val="num" w:pos="2160"/>
        </w:tabs>
        <w:ind w:left="2160" w:hanging="360"/>
      </w:pPr>
      <w:rPr>
        <w:rFonts w:ascii="Arial" w:hAnsi="Arial" w:cs="Times New Roman" w:hint="default"/>
      </w:rPr>
    </w:lvl>
    <w:lvl w:ilvl="3" w:tplc="F72ACD94">
      <w:start w:val="1"/>
      <w:numFmt w:val="bullet"/>
      <w:lvlText w:val="•"/>
      <w:lvlJc w:val="left"/>
      <w:pPr>
        <w:tabs>
          <w:tab w:val="num" w:pos="2880"/>
        </w:tabs>
        <w:ind w:left="2880" w:hanging="360"/>
      </w:pPr>
      <w:rPr>
        <w:rFonts w:ascii="Arial" w:hAnsi="Arial" w:cs="Times New Roman" w:hint="default"/>
      </w:rPr>
    </w:lvl>
    <w:lvl w:ilvl="4" w:tplc="51FC9AA0">
      <w:start w:val="1"/>
      <w:numFmt w:val="bullet"/>
      <w:lvlText w:val="•"/>
      <w:lvlJc w:val="left"/>
      <w:pPr>
        <w:tabs>
          <w:tab w:val="num" w:pos="3600"/>
        </w:tabs>
        <w:ind w:left="3600" w:hanging="360"/>
      </w:pPr>
      <w:rPr>
        <w:rFonts w:ascii="Arial" w:hAnsi="Arial" w:cs="Times New Roman" w:hint="default"/>
      </w:rPr>
    </w:lvl>
    <w:lvl w:ilvl="5" w:tplc="729A1E22">
      <w:start w:val="1"/>
      <w:numFmt w:val="bullet"/>
      <w:lvlText w:val="•"/>
      <w:lvlJc w:val="left"/>
      <w:pPr>
        <w:tabs>
          <w:tab w:val="num" w:pos="4320"/>
        </w:tabs>
        <w:ind w:left="4320" w:hanging="360"/>
      </w:pPr>
      <w:rPr>
        <w:rFonts w:ascii="Arial" w:hAnsi="Arial" w:cs="Times New Roman" w:hint="default"/>
      </w:rPr>
    </w:lvl>
    <w:lvl w:ilvl="6" w:tplc="7C4CF8A8">
      <w:start w:val="1"/>
      <w:numFmt w:val="bullet"/>
      <w:lvlText w:val="•"/>
      <w:lvlJc w:val="left"/>
      <w:pPr>
        <w:tabs>
          <w:tab w:val="num" w:pos="5040"/>
        </w:tabs>
        <w:ind w:left="5040" w:hanging="360"/>
      </w:pPr>
      <w:rPr>
        <w:rFonts w:ascii="Arial" w:hAnsi="Arial" w:cs="Times New Roman" w:hint="default"/>
      </w:rPr>
    </w:lvl>
    <w:lvl w:ilvl="7" w:tplc="C7628768">
      <w:start w:val="1"/>
      <w:numFmt w:val="bullet"/>
      <w:lvlText w:val="•"/>
      <w:lvlJc w:val="left"/>
      <w:pPr>
        <w:tabs>
          <w:tab w:val="num" w:pos="5760"/>
        </w:tabs>
        <w:ind w:left="5760" w:hanging="360"/>
      </w:pPr>
      <w:rPr>
        <w:rFonts w:ascii="Arial" w:hAnsi="Arial" w:cs="Times New Roman" w:hint="default"/>
      </w:rPr>
    </w:lvl>
    <w:lvl w:ilvl="8" w:tplc="32D2E7A0">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6545346"/>
    <w:multiLevelType w:val="hybridMultilevel"/>
    <w:tmpl w:val="F8043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6224DB"/>
    <w:multiLevelType w:val="hybridMultilevel"/>
    <w:tmpl w:val="2FC28D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A3D74"/>
    <w:multiLevelType w:val="hybridMultilevel"/>
    <w:tmpl w:val="9E80FF9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E0470E"/>
    <w:multiLevelType w:val="multilevel"/>
    <w:tmpl w:val="56A44EF0"/>
    <w:numStyleLink w:val="ListBullets"/>
  </w:abstractNum>
  <w:abstractNum w:abstractNumId="9" w15:restartNumberingAfterBreak="0">
    <w:nsid w:val="26204F8A"/>
    <w:multiLevelType w:val="hybridMultilevel"/>
    <w:tmpl w:val="67B4E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3B1234"/>
    <w:multiLevelType w:val="hybridMultilevel"/>
    <w:tmpl w:val="169E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523B7"/>
    <w:multiLevelType w:val="hybridMultilevel"/>
    <w:tmpl w:val="7546640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2270FB"/>
    <w:multiLevelType w:val="hybridMultilevel"/>
    <w:tmpl w:val="274270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10F65"/>
    <w:multiLevelType w:val="hybridMultilevel"/>
    <w:tmpl w:val="56D81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00BF4"/>
    <w:multiLevelType w:val="hybridMultilevel"/>
    <w:tmpl w:val="755E2C70"/>
    <w:lvl w:ilvl="0" w:tplc="08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91808C3"/>
    <w:multiLevelType w:val="hybridMultilevel"/>
    <w:tmpl w:val="9D1EF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80759C"/>
    <w:multiLevelType w:val="hybridMultilevel"/>
    <w:tmpl w:val="F84616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E34107"/>
    <w:multiLevelType w:val="hybridMultilevel"/>
    <w:tmpl w:val="E2FEC2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630FC2"/>
    <w:multiLevelType w:val="multilevel"/>
    <w:tmpl w:val="56A44EF0"/>
    <w:styleLink w:val="ListBullets"/>
    <w:lvl w:ilvl="0">
      <w:start w:val="1"/>
      <w:numFmt w:val="bullet"/>
      <w:pStyle w:val="ListBullet"/>
      <w:lvlText w:val="▪"/>
      <w:lvlJc w:val="left"/>
      <w:pPr>
        <w:ind w:left="170" w:hanging="170"/>
      </w:pPr>
      <w:rPr>
        <w:rFonts w:ascii="Arial" w:hAnsi="Arial"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Arial" w:hAnsi="Arial" w:hint="default"/>
      </w:rPr>
    </w:lvl>
    <w:lvl w:ilvl="3">
      <w:start w:val="1"/>
      <w:numFmt w:val="none"/>
      <w:lvlText w:val=""/>
      <w:lvlJc w:val="left"/>
      <w:pPr>
        <w:ind w:left="680" w:hanging="170"/>
      </w:pPr>
      <w:rPr>
        <w:rFonts w:hint="default"/>
      </w:rPr>
    </w:lvl>
    <w:lvl w:ilvl="4">
      <w:start w:val="1"/>
      <w:numFmt w:val="none"/>
      <w:lvlText w:val=""/>
      <w:lvlJc w:val="left"/>
      <w:pPr>
        <w:ind w:left="850" w:hanging="170"/>
      </w:pPr>
      <w:rPr>
        <w:rFonts w:hint="default"/>
      </w:rPr>
    </w:lvl>
    <w:lvl w:ilvl="5">
      <w:start w:val="1"/>
      <w:numFmt w:val="none"/>
      <w:lvlText w:val=""/>
      <w:lvlJc w:val="left"/>
      <w:pPr>
        <w:ind w:left="1020" w:hanging="170"/>
      </w:pPr>
      <w:rPr>
        <w:rFonts w:hint="default"/>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9" w15:restartNumberingAfterBreak="0">
    <w:nsid w:val="44B22640"/>
    <w:multiLevelType w:val="hybridMultilevel"/>
    <w:tmpl w:val="64348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728A3"/>
    <w:multiLevelType w:val="hybridMultilevel"/>
    <w:tmpl w:val="380EC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D754FC"/>
    <w:multiLevelType w:val="hybridMultilevel"/>
    <w:tmpl w:val="FF505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3B1E67"/>
    <w:multiLevelType w:val="hybridMultilevel"/>
    <w:tmpl w:val="380EC5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D36BF2"/>
    <w:multiLevelType w:val="hybridMultilevel"/>
    <w:tmpl w:val="C40A5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057F24"/>
    <w:multiLevelType w:val="hybridMultilevel"/>
    <w:tmpl w:val="CC4C0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EE5C8A"/>
    <w:multiLevelType w:val="multilevel"/>
    <w:tmpl w:val="E20A2198"/>
    <w:lvl w:ilvl="0">
      <w:start w:val="1"/>
      <w:numFmt w:val="decimal"/>
      <w:lvlText w:val="%1."/>
      <w:lvlJc w:val="left"/>
      <w:pPr>
        <w:tabs>
          <w:tab w:val="num" w:pos="1890"/>
        </w:tabs>
        <w:ind w:left="1890" w:hanging="720"/>
      </w:pPr>
    </w:lvl>
    <w:lvl w:ilvl="1">
      <w:start w:val="1"/>
      <w:numFmt w:val="decimal"/>
      <w:lvlText w:val="%2."/>
      <w:lvlJc w:val="left"/>
      <w:pPr>
        <w:tabs>
          <w:tab w:val="num" w:pos="2610"/>
        </w:tabs>
        <w:ind w:left="2610" w:hanging="720"/>
      </w:pPr>
    </w:lvl>
    <w:lvl w:ilvl="2">
      <w:start w:val="1"/>
      <w:numFmt w:val="decimal"/>
      <w:lvlText w:val="%3."/>
      <w:lvlJc w:val="left"/>
      <w:pPr>
        <w:tabs>
          <w:tab w:val="num" w:pos="3330"/>
        </w:tabs>
        <w:ind w:left="3330" w:hanging="720"/>
      </w:pPr>
    </w:lvl>
    <w:lvl w:ilvl="3">
      <w:start w:val="1"/>
      <w:numFmt w:val="decimal"/>
      <w:lvlText w:val="%4."/>
      <w:lvlJc w:val="left"/>
      <w:pPr>
        <w:tabs>
          <w:tab w:val="num" w:pos="4050"/>
        </w:tabs>
        <w:ind w:left="4050" w:hanging="720"/>
      </w:pPr>
    </w:lvl>
    <w:lvl w:ilvl="4">
      <w:start w:val="1"/>
      <w:numFmt w:val="decimal"/>
      <w:lvlText w:val="%5."/>
      <w:lvlJc w:val="left"/>
      <w:pPr>
        <w:tabs>
          <w:tab w:val="num" w:pos="4770"/>
        </w:tabs>
        <w:ind w:left="4770" w:hanging="720"/>
      </w:pPr>
    </w:lvl>
    <w:lvl w:ilvl="5">
      <w:start w:val="1"/>
      <w:numFmt w:val="decimal"/>
      <w:lvlText w:val="%6."/>
      <w:lvlJc w:val="left"/>
      <w:pPr>
        <w:tabs>
          <w:tab w:val="num" w:pos="5490"/>
        </w:tabs>
        <w:ind w:left="5490" w:hanging="720"/>
      </w:pPr>
    </w:lvl>
    <w:lvl w:ilvl="6">
      <w:start w:val="1"/>
      <w:numFmt w:val="decimal"/>
      <w:lvlText w:val="%7."/>
      <w:lvlJc w:val="left"/>
      <w:pPr>
        <w:tabs>
          <w:tab w:val="num" w:pos="6210"/>
        </w:tabs>
        <w:ind w:left="6210" w:hanging="720"/>
      </w:pPr>
    </w:lvl>
    <w:lvl w:ilvl="7">
      <w:start w:val="1"/>
      <w:numFmt w:val="decimal"/>
      <w:lvlText w:val="%8."/>
      <w:lvlJc w:val="left"/>
      <w:pPr>
        <w:tabs>
          <w:tab w:val="num" w:pos="6930"/>
        </w:tabs>
        <w:ind w:left="6930" w:hanging="720"/>
      </w:pPr>
    </w:lvl>
    <w:lvl w:ilvl="8">
      <w:start w:val="1"/>
      <w:numFmt w:val="decimal"/>
      <w:lvlText w:val="%9."/>
      <w:lvlJc w:val="left"/>
      <w:pPr>
        <w:tabs>
          <w:tab w:val="num" w:pos="7650"/>
        </w:tabs>
        <w:ind w:left="7650" w:hanging="720"/>
      </w:pPr>
    </w:lvl>
  </w:abstractNum>
  <w:abstractNum w:abstractNumId="26" w15:restartNumberingAfterBreak="0">
    <w:nsid w:val="66272D60"/>
    <w:multiLevelType w:val="hybridMultilevel"/>
    <w:tmpl w:val="090EAA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C032CB"/>
    <w:multiLevelType w:val="hybridMultilevel"/>
    <w:tmpl w:val="8F1C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AB381F"/>
    <w:multiLevelType w:val="hybridMultilevel"/>
    <w:tmpl w:val="A000A8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6DE242FB"/>
    <w:multiLevelType w:val="hybridMultilevel"/>
    <w:tmpl w:val="0A92CE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754887"/>
    <w:multiLevelType w:val="hybridMultilevel"/>
    <w:tmpl w:val="70841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A11E0E"/>
    <w:multiLevelType w:val="hybridMultilevel"/>
    <w:tmpl w:val="380EC5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8FA621B"/>
    <w:multiLevelType w:val="hybridMultilevel"/>
    <w:tmpl w:val="69CE6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00E2A"/>
    <w:multiLevelType w:val="hybridMultilevel"/>
    <w:tmpl w:val="3D16D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6185719">
    <w:abstractNumId w:val="8"/>
  </w:num>
  <w:num w:numId="2" w16cid:durableId="1354922129">
    <w:abstractNumId w:val="18"/>
  </w:num>
  <w:num w:numId="3" w16cid:durableId="2037581307">
    <w:abstractNumId w:val="0"/>
  </w:num>
  <w:num w:numId="4" w16cid:durableId="337462933">
    <w:abstractNumId w:val="20"/>
  </w:num>
  <w:num w:numId="5" w16cid:durableId="1689210793">
    <w:abstractNumId w:val="13"/>
  </w:num>
  <w:num w:numId="6" w16cid:durableId="822232611">
    <w:abstractNumId w:val="16"/>
  </w:num>
  <w:num w:numId="7" w16cid:durableId="2009096642">
    <w:abstractNumId w:val="7"/>
  </w:num>
  <w:num w:numId="8" w16cid:durableId="816842051">
    <w:abstractNumId w:val="25"/>
  </w:num>
  <w:num w:numId="9" w16cid:durableId="16200731">
    <w:abstractNumId w:val="10"/>
  </w:num>
  <w:num w:numId="10" w16cid:durableId="438571417">
    <w:abstractNumId w:val="27"/>
  </w:num>
  <w:num w:numId="11" w16cid:durableId="832331856">
    <w:abstractNumId w:val="2"/>
  </w:num>
  <w:num w:numId="12" w16cid:durableId="1135871216">
    <w:abstractNumId w:val="11"/>
  </w:num>
  <w:num w:numId="13" w16cid:durableId="1373071000">
    <w:abstractNumId w:val="26"/>
  </w:num>
  <w:num w:numId="14" w16cid:durableId="1191842204">
    <w:abstractNumId w:val="17"/>
  </w:num>
  <w:num w:numId="15" w16cid:durableId="428935753">
    <w:abstractNumId w:val="21"/>
  </w:num>
  <w:num w:numId="16" w16cid:durableId="878516886">
    <w:abstractNumId w:val="14"/>
  </w:num>
  <w:num w:numId="17" w16cid:durableId="1506483122">
    <w:abstractNumId w:val="12"/>
  </w:num>
  <w:num w:numId="18" w16cid:durableId="403262722">
    <w:abstractNumId w:val="6"/>
  </w:num>
  <w:num w:numId="19" w16cid:durableId="8619374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6239095">
    <w:abstractNumId w:val="23"/>
  </w:num>
  <w:num w:numId="21" w16cid:durableId="931821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5E"/>
    <w:rsid w:val="00005D1D"/>
    <w:rsid w:val="000102F4"/>
    <w:rsid w:val="00013631"/>
    <w:rsid w:val="00013888"/>
    <w:rsid w:val="00020F55"/>
    <w:rsid w:val="0003297F"/>
    <w:rsid w:val="00043BC7"/>
    <w:rsid w:val="00044EC1"/>
    <w:rsid w:val="000454CE"/>
    <w:rsid w:val="00050C78"/>
    <w:rsid w:val="00052728"/>
    <w:rsid w:val="00052E91"/>
    <w:rsid w:val="00055B38"/>
    <w:rsid w:val="00062B3B"/>
    <w:rsid w:val="00066E26"/>
    <w:rsid w:val="00071598"/>
    <w:rsid w:val="000B24A1"/>
    <w:rsid w:val="000B2722"/>
    <w:rsid w:val="000B605C"/>
    <w:rsid w:val="000B6B41"/>
    <w:rsid w:val="000B7EB2"/>
    <w:rsid w:val="000C383C"/>
    <w:rsid w:val="000C485B"/>
    <w:rsid w:val="000C5F97"/>
    <w:rsid w:val="000E2373"/>
    <w:rsid w:val="000E55BB"/>
    <w:rsid w:val="000E7CD1"/>
    <w:rsid w:val="000F237C"/>
    <w:rsid w:val="000F4374"/>
    <w:rsid w:val="000F71B8"/>
    <w:rsid w:val="00100A7B"/>
    <w:rsid w:val="0011014E"/>
    <w:rsid w:val="00111D84"/>
    <w:rsid w:val="001206A5"/>
    <w:rsid w:val="001254A1"/>
    <w:rsid w:val="001432FB"/>
    <w:rsid w:val="0014498F"/>
    <w:rsid w:val="001555D1"/>
    <w:rsid w:val="001649A8"/>
    <w:rsid w:val="00177A76"/>
    <w:rsid w:val="0018305D"/>
    <w:rsid w:val="00184F16"/>
    <w:rsid w:val="00186C80"/>
    <w:rsid w:val="00187C4F"/>
    <w:rsid w:val="00191F3D"/>
    <w:rsid w:val="001B7ED1"/>
    <w:rsid w:val="001C71C1"/>
    <w:rsid w:val="001C72CE"/>
    <w:rsid w:val="001D121E"/>
    <w:rsid w:val="001D3E2E"/>
    <w:rsid w:val="001E24F5"/>
    <w:rsid w:val="001E5E7A"/>
    <w:rsid w:val="001F00D6"/>
    <w:rsid w:val="001F1053"/>
    <w:rsid w:val="001F115D"/>
    <w:rsid w:val="001F2F89"/>
    <w:rsid w:val="00215679"/>
    <w:rsid w:val="002207F8"/>
    <w:rsid w:val="00223472"/>
    <w:rsid w:val="0022501F"/>
    <w:rsid w:val="00231D16"/>
    <w:rsid w:val="002359C7"/>
    <w:rsid w:val="00241392"/>
    <w:rsid w:val="0024221B"/>
    <w:rsid w:val="00242AC2"/>
    <w:rsid w:val="002437BA"/>
    <w:rsid w:val="00263BE4"/>
    <w:rsid w:val="002674FB"/>
    <w:rsid w:val="002823D6"/>
    <w:rsid w:val="00282F4D"/>
    <w:rsid w:val="0028327B"/>
    <w:rsid w:val="00287B48"/>
    <w:rsid w:val="00293294"/>
    <w:rsid w:val="00297687"/>
    <w:rsid w:val="002A2326"/>
    <w:rsid w:val="002A2DEE"/>
    <w:rsid w:val="002A4D03"/>
    <w:rsid w:val="002B6244"/>
    <w:rsid w:val="002C1F78"/>
    <w:rsid w:val="002C23DF"/>
    <w:rsid w:val="002D244B"/>
    <w:rsid w:val="002D2658"/>
    <w:rsid w:val="002D5545"/>
    <w:rsid w:val="002D5960"/>
    <w:rsid w:val="002E6BAC"/>
    <w:rsid w:val="002F3D79"/>
    <w:rsid w:val="003058BC"/>
    <w:rsid w:val="003150AA"/>
    <w:rsid w:val="00315E13"/>
    <w:rsid w:val="003239D8"/>
    <w:rsid w:val="00323E17"/>
    <w:rsid w:val="00326EF0"/>
    <w:rsid w:val="003420B5"/>
    <w:rsid w:val="0034396E"/>
    <w:rsid w:val="00345DD7"/>
    <w:rsid w:val="00346685"/>
    <w:rsid w:val="0035308B"/>
    <w:rsid w:val="00364650"/>
    <w:rsid w:val="00367544"/>
    <w:rsid w:val="003712BA"/>
    <w:rsid w:val="00372522"/>
    <w:rsid w:val="00374F7B"/>
    <w:rsid w:val="00382304"/>
    <w:rsid w:val="0039363F"/>
    <w:rsid w:val="00397298"/>
    <w:rsid w:val="003B425B"/>
    <w:rsid w:val="003B5213"/>
    <w:rsid w:val="003D0510"/>
    <w:rsid w:val="003D1858"/>
    <w:rsid w:val="003D38A1"/>
    <w:rsid w:val="003D403E"/>
    <w:rsid w:val="003D6B20"/>
    <w:rsid w:val="003E635B"/>
    <w:rsid w:val="003F0FD9"/>
    <w:rsid w:val="003F6BB8"/>
    <w:rsid w:val="003F6DD0"/>
    <w:rsid w:val="004208A7"/>
    <w:rsid w:val="00422331"/>
    <w:rsid w:val="00423AD1"/>
    <w:rsid w:val="004267F3"/>
    <w:rsid w:val="0043395B"/>
    <w:rsid w:val="004370B7"/>
    <w:rsid w:val="00450D59"/>
    <w:rsid w:val="0045108C"/>
    <w:rsid w:val="00465F15"/>
    <w:rsid w:val="00481F63"/>
    <w:rsid w:val="00486F21"/>
    <w:rsid w:val="004A44E7"/>
    <w:rsid w:val="004A7623"/>
    <w:rsid w:val="004B122B"/>
    <w:rsid w:val="004B1C1D"/>
    <w:rsid w:val="004B231F"/>
    <w:rsid w:val="004B521E"/>
    <w:rsid w:val="004C0A36"/>
    <w:rsid w:val="004F38BA"/>
    <w:rsid w:val="004F55B7"/>
    <w:rsid w:val="005115B0"/>
    <w:rsid w:val="005165CD"/>
    <w:rsid w:val="00517D01"/>
    <w:rsid w:val="00524D60"/>
    <w:rsid w:val="005253B2"/>
    <w:rsid w:val="0054478B"/>
    <w:rsid w:val="005447E9"/>
    <w:rsid w:val="0054587A"/>
    <w:rsid w:val="00546B85"/>
    <w:rsid w:val="005474AC"/>
    <w:rsid w:val="00555F51"/>
    <w:rsid w:val="005633A7"/>
    <w:rsid w:val="005724B0"/>
    <w:rsid w:val="00577822"/>
    <w:rsid w:val="00580F38"/>
    <w:rsid w:val="00586B2D"/>
    <w:rsid w:val="00590203"/>
    <w:rsid w:val="005B5777"/>
    <w:rsid w:val="005B6ABB"/>
    <w:rsid w:val="005C26F8"/>
    <w:rsid w:val="005C2817"/>
    <w:rsid w:val="005C6DB6"/>
    <w:rsid w:val="005D06F1"/>
    <w:rsid w:val="005E0F66"/>
    <w:rsid w:val="005E145E"/>
    <w:rsid w:val="005F5BFE"/>
    <w:rsid w:val="005F65DD"/>
    <w:rsid w:val="006015E2"/>
    <w:rsid w:val="00602B4B"/>
    <w:rsid w:val="0060437E"/>
    <w:rsid w:val="0061499A"/>
    <w:rsid w:val="006165CE"/>
    <w:rsid w:val="006338B1"/>
    <w:rsid w:val="00634B2A"/>
    <w:rsid w:val="00635DFB"/>
    <w:rsid w:val="00641713"/>
    <w:rsid w:val="0064309C"/>
    <w:rsid w:val="0065357E"/>
    <w:rsid w:val="00655201"/>
    <w:rsid w:val="00672F55"/>
    <w:rsid w:val="006757B5"/>
    <w:rsid w:val="00675F60"/>
    <w:rsid w:val="0068102D"/>
    <w:rsid w:val="006856D4"/>
    <w:rsid w:val="00687CF0"/>
    <w:rsid w:val="00694F86"/>
    <w:rsid w:val="00695907"/>
    <w:rsid w:val="006974E2"/>
    <w:rsid w:val="006B0DA6"/>
    <w:rsid w:val="006C423E"/>
    <w:rsid w:val="006D143A"/>
    <w:rsid w:val="006E14D4"/>
    <w:rsid w:val="006E5C40"/>
    <w:rsid w:val="006F0510"/>
    <w:rsid w:val="006F2F1F"/>
    <w:rsid w:val="0070084B"/>
    <w:rsid w:val="007060D1"/>
    <w:rsid w:val="0071256D"/>
    <w:rsid w:val="00723008"/>
    <w:rsid w:val="00726C80"/>
    <w:rsid w:val="00730424"/>
    <w:rsid w:val="00731217"/>
    <w:rsid w:val="0074504A"/>
    <w:rsid w:val="00750C16"/>
    <w:rsid w:val="00755AB7"/>
    <w:rsid w:val="00773899"/>
    <w:rsid w:val="007948CB"/>
    <w:rsid w:val="007A6E70"/>
    <w:rsid w:val="007B4838"/>
    <w:rsid w:val="007B5F28"/>
    <w:rsid w:val="007C022F"/>
    <w:rsid w:val="007C7E4F"/>
    <w:rsid w:val="007D41B9"/>
    <w:rsid w:val="007E2AD1"/>
    <w:rsid w:val="007E7923"/>
    <w:rsid w:val="007F35BC"/>
    <w:rsid w:val="007F785E"/>
    <w:rsid w:val="00800119"/>
    <w:rsid w:val="008066D6"/>
    <w:rsid w:val="00813B90"/>
    <w:rsid w:val="00817995"/>
    <w:rsid w:val="00817D61"/>
    <w:rsid w:val="00821792"/>
    <w:rsid w:val="00823A71"/>
    <w:rsid w:val="00831B5C"/>
    <w:rsid w:val="0083245D"/>
    <w:rsid w:val="0083305F"/>
    <w:rsid w:val="00837C78"/>
    <w:rsid w:val="00842116"/>
    <w:rsid w:val="00873179"/>
    <w:rsid w:val="00874132"/>
    <w:rsid w:val="00876C4A"/>
    <w:rsid w:val="00890D70"/>
    <w:rsid w:val="008A07D1"/>
    <w:rsid w:val="008A1EAD"/>
    <w:rsid w:val="008B754B"/>
    <w:rsid w:val="008C3801"/>
    <w:rsid w:val="008C6E6A"/>
    <w:rsid w:val="008D39AB"/>
    <w:rsid w:val="008E374E"/>
    <w:rsid w:val="008F1E35"/>
    <w:rsid w:val="008F2F6B"/>
    <w:rsid w:val="008F3FCB"/>
    <w:rsid w:val="00900290"/>
    <w:rsid w:val="00901030"/>
    <w:rsid w:val="0090107A"/>
    <w:rsid w:val="009124E4"/>
    <w:rsid w:val="0091590E"/>
    <w:rsid w:val="00916833"/>
    <w:rsid w:val="00933B25"/>
    <w:rsid w:val="00945EC9"/>
    <w:rsid w:val="0096597D"/>
    <w:rsid w:val="0097271C"/>
    <w:rsid w:val="00975872"/>
    <w:rsid w:val="00980BE0"/>
    <w:rsid w:val="00982515"/>
    <w:rsid w:val="00983D9A"/>
    <w:rsid w:val="009B147F"/>
    <w:rsid w:val="009B15E7"/>
    <w:rsid w:val="009B6440"/>
    <w:rsid w:val="009C0F83"/>
    <w:rsid w:val="009C71C6"/>
    <w:rsid w:val="009D2D87"/>
    <w:rsid w:val="009D3AF9"/>
    <w:rsid w:val="009D4ABD"/>
    <w:rsid w:val="009D72C4"/>
    <w:rsid w:val="009E4FFC"/>
    <w:rsid w:val="009E689C"/>
    <w:rsid w:val="00A015AA"/>
    <w:rsid w:val="00A10260"/>
    <w:rsid w:val="00A115B5"/>
    <w:rsid w:val="00A166B2"/>
    <w:rsid w:val="00A16B82"/>
    <w:rsid w:val="00A250E6"/>
    <w:rsid w:val="00A300FA"/>
    <w:rsid w:val="00A369CD"/>
    <w:rsid w:val="00A41DBB"/>
    <w:rsid w:val="00A43722"/>
    <w:rsid w:val="00A45B50"/>
    <w:rsid w:val="00A530AA"/>
    <w:rsid w:val="00A72FDA"/>
    <w:rsid w:val="00A7686E"/>
    <w:rsid w:val="00A81822"/>
    <w:rsid w:val="00A81A71"/>
    <w:rsid w:val="00A85C98"/>
    <w:rsid w:val="00A94DE0"/>
    <w:rsid w:val="00A97668"/>
    <w:rsid w:val="00AA1753"/>
    <w:rsid w:val="00AB1730"/>
    <w:rsid w:val="00AB7813"/>
    <w:rsid w:val="00AC5F58"/>
    <w:rsid w:val="00AE12B8"/>
    <w:rsid w:val="00AE44A2"/>
    <w:rsid w:val="00AE4508"/>
    <w:rsid w:val="00AE6523"/>
    <w:rsid w:val="00AF1101"/>
    <w:rsid w:val="00AF2A5A"/>
    <w:rsid w:val="00AF2E4C"/>
    <w:rsid w:val="00B00C61"/>
    <w:rsid w:val="00B06E39"/>
    <w:rsid w:val="00B123F8"/>
    <w:rsid w:val="00B130AF"/>
    <w:rsid w:val="00B17C7B"/>
    <w:rsid w:val="00B33516"/>
    <w:rsid w:val="00B40461"/>
    <w:rsid w:val="00B405A4"/>
    <w:rsid w:val="00B433F4"/>
    <w:rsid w:val="00B461F1"/>
    <w:rsid w:val="00B51882"/>
    <w:rsid w:val="00B572C0"/>
    <w:rsid w:val="00B62AE5"/>
    <w:rsid w:val="00B64EFF"/>
    <w:rsid w:val="00B7177F"/>
    <w:rsid w:val="00B817F3"/>
    <w:rsid w:val="00B85420"/>
    <w:rsid w:val="00B874FC"/>
    <w:rsid w:val="00B94DDB"/>
    <w:rsid w:val="00BB17B7"/>
    <w:rsid w:val="00BD1F21"/>
    <w:rsid w:val="00BD5425"/>
    <w:rsid w:val="00BD615A"/>
    <w:rsid w:val="00BE3480"/>
    <w:rsid w:val="00BE395C"/>
    <w:rsid w:val="00BF2CF9"/>
    <w:rsid w:val="00BF49FE"/>
    <w:rsid w:val="00C022DC"/>
    <w:rsid w:val="00C12FC5"/>
    <w:rsid w:val="00C22141"/>
    <w:rsid w:val="00C26172"/>
    <w:rsid w:val="00C30F6E"/>
    <w:rsid w:val="00C43AE3"/>
    <w:rsid w:val="00C57652"/>
    <w:rsid w:val="00C609FB"/>
    <w:rsid w:val="00C66103"/>
    <w:rsid w:val="00C67E9C"/>
    <w:rsid w:val="00C722C0"/>
    <w:rsid w:val="00C7362F"/>
    <w:rsid w:val="00C7449B"/>
    <w:rsid w:val="00C85758"/>
    <w:rsid w:val="00C859ED"/>
    <w:rsid w:val="00C91146"/>
    <w:rsid w:val="00C92064"/>
    <w:rsid w:val="00C93393"/>
    <w:rsid w:val="00C97E2D"/>
    <w:rsid w:val="00CB61CD"/>
    <w:rsid w:val="00CB627D"/>
    <w:rsid w:val="00CC3554"/>
    <w:rsid w:val="00CC3ED3"/>
    <w:rsid w:val="00CD0B21"/>
    <w:rsid w:val="00CD4872"/>
    <w:rsid w:val="00CF0D43"/>
    <w:rsid w:val="00D03002"/>
    <w:rsid w:val="00D03D2C"/>
    <w:rsid w:val="00D11438"/>
    <w:rsid w:val="00D138BB"/>
    <w:rsid w:val="00D47B5D"/>
    <w:rsid w:val="00D54D9E"/>
    <w:rsid w:val="00D71C61"/>
    <w:rsid w:val="00D73D2C"/>
    <w:rsid w:val="00D74D62"/>
    <w:rsid w:val="00D80851"/>
    <w:rsid w:val="00D81E3F"/>
    <w:rsid w:val="00DA5971"/>
    <w:rsid w:val="00DA5B75"/>
    <w:rsid w:val="00DA72A1"/>
    <w:rsid w:val="00DB3691"/>
    <w:rsid w:val="00DE55AF"/>
    <w:rsid w:val="00DF54BF"/>
    <w:rsid w:val="00E164EF"/>
    <w:rsid w:val="00E20FFA"/>
    <w:rsid w:val="00E2387D"/>
    <w:rsid w:val="00E27EA2"/>
    <w:rsid w:val="00E30F90"/>
    <w:rsid w:val="00E35C02"/>
    <w:rsid w:val="00E50B77"/>
    <w:rsid w:val="00E529F3"/>
    <w:rsid w:val="00E5401B"/>
    <w:rsid w:val="00E5639A"/>
    <w:rsid w:val="00E6009F"/>
    <w:rsid w:val="00E77286"/>
    <w:rsid w:val="00E804BB"/>
    <w:rsid w:val="00E83216"/>
    <w:rsid w:val="00E84648"/>
    <w:rsid w:val="00E852ED"/>
    <w:rsid w:val="00E940A6"/>
    <w:rsid w:val="00E974D0"/>
    <w:rsid w:val="00E97B41"/>
    <w:rsid w:val="00EA3339"/>
    <w:rsid w:val="00EA43EA"/>
    <w:rsid w:val="00EB2B9C"/>
    <w:rsid w:val="00EB6923"/>
    <w:rsid w:val="00ED47EE"/>
    <w:rsid w:val="00ED741B"/>
    <w:rsid w:val="00EE128A"/>
    <w:rsid w:val="00EE19AE"/>
    <w:rsid w:val="00EF18F9"/>
    <w:rsid w:val="00EF297E"/>
    <w:rsid w:val="00F00622"/>
    <w:rsid w:val="00F00A4B"/>
    <w:rsid w:val="00F026D3"/>
    <w:rsid w:val="00F2526F"/>
    <w:rsid w:val="00F3144F"/>
    <w:rsid w:val="00F3346C"/>
    <w:rsid w:val="00F34679"/>
    <w:rsid w:val="00F35348"/>
    <w:rsid w:val="00F4022B"/>
    <w:rsid w:val="00F40316"/>
    <w:rsid w:val="00F4483B"/>
    <w:rsid w:val="00F46DB1"/>
    <w:rsid w:val="00F51F4C"/>
    <w:rsid w:val="00F525A6"/>
    <w:rsid w:val="00F54489"/>
    <w:rsid w:val="00F572C9"/>
    <w:rsid w:val="00F61F89"/>
    <w:rsid w:val="00F660F6"/>
    <w:rsid w:val="00F72AED"/>
    <w:rsid w:val="00F831D8"/>
    <w:rsid w:val="00F84B2F"/>
    <w:rsid w:val="00F970B0"/>
    <w:rsid w:val="00FA60F0"/>
    <w:rsid w:val="00FD2D13"/>
    <w:rsid w:val="00FD6B90"/>
    <w:rsid w:val="00FE2254"/>
    <w:rsid w:val="00FE7567"/>
    <w:rsid w:val="00FF6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99EA"/>
  <w15:docId w15:val="{44DC4809-0E40-4137-BC2D-EED31657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BodyText"/>
    <w:link w:val="Heading4Char"/>
    <w:uiPriority w:val="9"/>
    <w:qFormat/>
    <w:rsid w:val="00517D01"/>
    <w:pPr>
      <w:keepNext/>
      <w:keepLines/>
      <w:spacing w:after="60" w:line="264" w:lineRule="auto"/>
      <w:outlineLvl w:val="3"/>
    </w:pPr>
    <w:rPr>
      <w:rFonts w:asciiTheme="majorHAnsi" w:eastAsiaTheme="majorEastAsia" w:hAnsiTheme="majorHAnsi" w:cstheme="majorBidi"/>
      <w:b/>
      <w:bCs/>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5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521E"/>
    <w:pPr>
      <w:ind w:left="720"/>
      <w:contextualSpacing/>
    </w:pPr>
  </w:style>
  <w:style w:type="paragraph" w:styleId="BalloonText">
    <w:name w:val="Balloon Text"/>
    <w:basedOn w:val="Normal"/>
    <w:link w:val="BalloonTextChar"/>
    <w:uiPriority w:val="99"/>
    <w:semiHidden/>
    <w:unhideWhenUsed/>
    <w:rsid w:val="00687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CF0"/>
    <w:rPr>
      <w:rFonts w:ascii="Segoe UI" w:hAnsi="Segoe UI" w:cs="Segoe UI"/>
      <w:sz w:val="18"/>
      <w:szCs w:val="18"/>
    </w:rPr>
  </w:style>
  <w:style w:type="paragraph" w:customStyle="1" w:styleId="2ColumnBody">
    <w:name w:val="2 Column Body"/>
    <w:basedOn w:val="Normal"/>
    <w:link w:val="2ColumnBodyChar"/>
    <w:rsid w:val="00C7362F"/>
    <w:pPr>
      <w:spacing w:after="120" w:line="264" w:lineRule="auto"/>
    </w:pPr>
    <w:rPr>
      <w:rFonts w:ascii="Arial" w:eastAsia="MS Mincho" w:hAnsi="Arial" w:cs="Times New Roman"/>
      <w:sz w:val="20"/>
      <w:szCs w:val="20"/>
    </w:rPr>
  </w:style>
  <w:style w:type="character" w:customStyle="1" w:styleId="2ColumnBodyChar">
    <w:name w:val="2 Column Body Char"/>
    <w:link w:val="2ColumnBody"/>
    <w:locked/>
    <w:rsid w:val="00C7362F"/>
    <w:rPr>
      <w:rFonts w:ascii="Arial" w:eastAsia="MS Mincho" w:hAnsi="Arial" w:cs="Times New Roman"/>
      <w:sz w:val="20"/>
      <w:szCs w:val="20"/>
    </w:rPr>
  </w:style>
  <w:style w:type="character" w:styleId="CommentReference">
    <w:name w:val="annotation reference"/>
    <w:basedOn w:val="DefaultParagraphFont"/>
    <w:uiPriority w:val="99"/>
    <w:semiHidden/>
    <w:unhideWhenUsed/>
    <w:rsid w:val="004370B7"/>
    <w:rPr>
      <w:sz w:val="16"/>
      <w:szCs w:val="16"/>
    </w:rPr>
  </w:style>
  <w:style w:type="paragraph" w:styleId="CommentText">
    <w:name w:val="annotation text"/>
    <w:basedOn w:val="Normal"/>
    <w:link w:val="CommentTextChar"/>
    <w:uiPriority w:val="99"/>
    <w:unhideWhenUsed/>
    <w:rsid w:val="004370B7"/>
    <w:pPr>
      <w:spacing w:line="240" w:lineRule="auto"/>
    </w:pPr>
    <w:rPr>
      <w:sz w:val="20"/>
      <w:szCs w:val="20"/>
    </w:rPr>
  </w:style>
  <w:style w:type="character" w:customStyle="1" w:styleId="CommentTextChar">
    <w:name w:val="Comment Text Char"/>
    <w:basedOn w:val="DefaultParagraphFont"/>
    <w:link w:val="CommentText"/>
    <w:uiPriority w:val="99"/>
    <w:rsid w:val="004370B7"/>
    <w:rPr>
      <w:sz w:val="20"/>
      <w:szCs w:val="20"/>
    </w:rPr>
  </w:style>
  <w:style w:type="paragraph" w:styleId="CommentSubject">
    <w:name w:val="annotation subject"/>
    <w:basedOn w:val="CommentText"/>
    <w:next w:val="CommentText"/>
    <w:link w:val="CommentSubjectChar"/>
    <w:uiPriority w:val="99"/>
    <w:semiHidden/>
    <w:unhideWhenUsed/>
    <w:rsid w:val="004370B7"/>
    <w:rPr>
      <w:b/>
      <w:bCs/>
    </w:rPr>
  </w:style>
  <w:style w:type="character" w:customStyle="1" w:styleId="CommentSubjectChar">
    <w:name w:val="Comment Subject Char"/>
    <w:basedOn w:val="CommentTextChar"/>
    <w:link w:val="CommentSubject"/>
    <w:uiPriority w:val="99"/>
    <w:semiHidden/>
    <w:rsid w:val="004370B7"/>
    <w:rPr>
      <w:b/>
      <w:bCs/>
      <w:sz w:val="20"/>
      <w:szCs w:val="20"/>
    </w:rPr>
  </w:style>
  <w:style w:type="character" w:styleId="Hyperlink">
    <w:name w:val="Hyperlink"/>
    <w:basedOn w:val="DefaultParagraphFont"/>
    <w:uiPriority w:val="99"/>
    <w:unhideWhenUsed/>
    <w:rsid w:val="003D403E"/>
    <w:rPr>
      <w:color w:val="0563C1" w:themeColor="hyperlink"/>
      <w:u w:val="single"/>
    </w:rPr>
  </w:style>
  <w:style w:type="paragraph" w:styleId="BodyText">
    <w:name w:val="Body Text"/>
    <w:basedOn w:val="Normal"/>
    <w:link w:val="BodyTextChar"/>
    <w:uiPriority w:val="11"/>
    <w:qFormat/>
    <w:rsid w:val="004267F3"/>
    <w:pPr>
      <w:spacing w:after="120" w:line="276" w:lineRule="auto"/>
    </w:pPr>
    <w:rPr>
      <w:color w:val="000000" w:themeColor="text1"/>
      <w:sz w:val="20"/>
    </w:rPr>
  </w:style>
  <w:style w:type="character" w:customStyle="1" w:styleId="BodyTextChar">
    <w:name w:val="Body Text Char"/>
    <w:basedOn w:val="DefaultParagraphFont"/>
    <w:link w:val="BodyText"/>
    <w:uiPriority w:val="11"/>
    <w:rsid w:val="004267F3"/>
    <w:rPr>
      <w:color w:val="000000" w:themeColor="text1"/>
      <w:sz w:val="20"/>
    </w:rPr>
  </w:style>
  <w:style w:type="paragraph" w:styleId="Revision">
    <w:name w:val="Revision"/>
    <w:hidden/>
    <w:uiPriority w:val="99"/>
    <w:semiHidden/>
    <w:rsid w:val="000454CE"/>
    <w:pPr>
      <w:spacing w:after="0" w:line="240" w:lineRule="auto"/>
    </w:pPr>
  </w:style>
  <w:style w:type="paragraph" w:styleId="NormalWeb">
    <w:name w:val="Normal (Web)"/>
    <w:basedOn w:val="Normal"/>
    <w:uiPriority w:val="99"/>
    <w:unhideWhenUsed/>
    <w:rsid w:val="00E97B4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2">
    <w:name w:val="Plain Table 2"/>
    <w:basedOn w:val="TableNormal"/>
    <w:uiPriority w:val="42"/>
    <w:rsid w:val="00005D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rsid w:val="00517D01"/>
    <w:rPr>
      <w:rFonts w:asciiTheme="majorHAnsi" w:eastAsiaTheme="majorEastAsia" w:hAnsiTheme="majorHAnsi" w:cstheme="majorBidi"/>
      <w:b/>
      <w:bCs/>
      <w:iCs/>
      <w:color w:val="000000" w:themeColor="text1"/>
      <w:sz w:val="20"/>
    </w:rPr>
  </w:style>
  <w:style w:type="paragraph" w:styleId="ListBullet">
    <w:name w:val="List Bullet"/>
    <w:basedOn w:val="BodyText"/>
    <w:qFormat/>
    <w:rsid w:val="00517D01"/>
    <w:pPr>
      <w:numPr>
        <w:numId w:val="2"/>
      </w:numPr>
    </w:pPr>
  </w:style>
  <w:style w:type="numbering" w:customStyle="1" w:styleId="ListBullets">
    <w:name w:val="_List Bullets"/>
    <w:uiPriority w:val="99"/>
    <w:rsid w:val="00517D01"/>
    <w:pPr>
      <w:numPr>
        <w:numId w:val="2"/>
      </w:numPr>
    </w:pPr>
  </w:style>
  <w:style w:type="character" w:customStyle="1" w:styleId="normaltextrun">
    <w:name w:val="normaltextrun"/>
    <w:basedOn w:val="DefaultParagraphFont"/>
    <w:rsid w:val="00C7449B"/>
  </w:style>
  <w:style w:type="paragraph" w:customStyle="1" w:styleId="AonBusinessUnit">
    <w:name w:val="Aon Business Unit"/>
    <w:basedOn w:val="Normal"/>
    <w:qFormat/>
    <w:rsid w:val="00773899"/>
    <w:pPr>
      <w:tabs>
        <w:tab w:val="right" w:pos="9720"/>
      </w:tabs>
      <w:spacing w:after="0" w:line="240" w:lineRule="auto"/>
    </w:pPr>
    <w:rPr>
      <w:rFonts w:ascii="Arial" w:eastAsia="MS Mincho" w:hAnsi="Arial" w:cs="Times New Roman"/>
      <w:b/>
      <w:sz w:val="16"/>
      <w:szCs w:val="16"/>
      <w:lang w:val="en-US"/>
    </w:rPr>
  </w:style>
  <w:style w:type="table" w:styleId="TableGridLight">
    <w:name w:val="Grid Table Light"/>
    <w:basedOn w:val="TableNormal"/>
    <w:uiPriority w:val="40"/>
    <w:rsid w:val="00F334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86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C80"/>
  </w:style>
  <w:style w:type="paragraph" w:styleId="Footer">
    <w:name w:val="footer"/>
    <w:basedOn w:val="Normal"/>
    <w:link w:val="FooterChar"/>
    <w:uiPriority w:val="99"/>
    <w:unhideWhenUsed/>
    <w:rsid w:val="00186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C80"/>
  </w:style>
  <w:style w:type="character" w:styleId="UnresolvedMention">
    <w:name w:val="Unresolved Mention"/>
    <w:basedOn w:val="DefaultParagraphFont"/>
    <w:uiPriority w:val="99"/>
    <w:semiHidden/>
    <w:unhideWhenUsed/>
    <w:rsid w:val="001E2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4097">
      <w:bodyDiv w:val="1"/>
      <w:marLeft w:val="0"/>
      <w:marRight w:val="0"/>
      <w:marTop w:val="0"/>
      <w:marBottom w:val="0"/>
      <w:divBdr>
        <w:top w:val="none" w:sz="0" w:space="0" w:color="auto"/>
        <w:left w:val="none" w:sz="0" w:space="0" w:color="auto"/>
        <w:bottom w:val="none" w:sz="0" w:space="0" w:color="auto"/>
        <w:right w:val="none" w:sz="0" w:space="0" w:color="auto"/>
      </w:divBdr>
    </w:div>
    <w:div w:id="764957253">
      <w:bodyDiv w:val="1"/>
      <w:marLeft w:val="0"/>
      <w:marRight w:val="0"/>
      <w:marTop w:val="0"/>
      <w:marBottom w:val="0"/>
      <w:divBdr>
        <w:top w:val="none" w:sz="0" w:space="0" w:color="auto"/>
        <w:left w:val="none" w:sz="0" w:space="0" w:color="auto"/>
        <w:bottom w:val="none" w:sz="0" w:space="0" w:color="auto"/>
        <w:right w:val="none" w:sz="0" w:space="0" w:color="auto"/>
      </w:divBdr>
    </w:div>
    <w:div w:id="891310730">
      <w:bodyDiv w:val="1"/>
      <w:marLeft w:val="0"/>
      <w:marRight w:val="0"/>
      <w:marTop w:val="0"/>
      <w:marBottom w:val="0"/>
      <w:divBdr>
        <w:top w:val="none" w:sz="0" w:space="0" w:color="auto"/>
        <w:left w:val="none" w:sz="0" w:space="0" w:color="auto"/>
        <w:bottom w:val="none" w:sz="0" w:space="0" w:color="auto"/>
        <w:right w:val="none" w:sz="0" w:space="0" w:color="auto"/>
      </w:divBdr>
    </w:div>
    <w:div w:id="1027637225">
      <w:bodyDiv w:val="1"/>
      <w:marLeft w:val="0"/>
      <w:marRight w:val="0"/>
      <w:marTop w:val="0"/>
      <w:marBottom w:val="0"/>
      <w:divBdr>
        <w:top w:val="none" w:sz="0" w:space="0" w:color="auto"/>
        <w:left w:val="none" w:sz="0" w:space="0" w:color="auto"/>
        <w:bottom w:val="none" w:sz="0" w:space="0" w:color="auto"/>
        <w:right w:val="none" w:sz="0" w:space="0" w:color="auto"/>
      </w:divBdr>
    </w:div>
    <w:div w:id="1090273771">
      <w:bodyDiv w:val="1"/>
      <w:marLeft w:val="0"/>
      <w:marRight w:val="0"/>
      <w:marTop w:val="0"/>
      <w:marBottom w:val="0"/>
      <w:divBdr>
        <w:top w:val="none" w:sz="0" w:space="0" w:color="auto"/>
        <w:left w:val="none" w:sz="0" w:space="0" w:color="auto"/>
        <w:bottom w:val="none" w:sz="0" w:space="0" w:color="auto"/>
        <w:right w:val="none" w:sz="0" w:space="0" w:color="auto"/>
      </w:divBdr>
    </w:div>
    <w:div w:id="1185051323">
      <w:bodyDiv w:val="1"/>
      <w:marLeft w:val="0"/>
      <w:marRight w:val="0"/>
      <w:marTop w:val="0"/>
      <w:marBottom w:val="0"/>
      <w:divBdr>
        <w:top w:val="none" w:sz="0" w:space="0" w:color="auto"/>
        <w:left w:val="none" w:sz="0" w:space="0" w:color="auto"/>
        <w:bottom w:val="none" w:sz="0" w:space="0" w:color="auto"/>
        <w:right w:val="none" w:sz="0" w:space="0" w:color="auto"/>
      </w:divBdr>
    </w:div>
    <w:div w:id="1247573322">
      <w:bodyDiv w:val="1"/>
      <w:marLeft w:val="0"/>
      <w:marRight w:val="0"/>
      <w:marTop w:val="0"/>
      <w:marBottom w:val="0"/>
      <w:divBdr>
        <w:top w:val="none" w:sz="0" w:space="0" w:color="auto"/>
        <w:left w:val="none" w:sz="0" w:space="0" w:color="auto"/>
        <w:bottom w:val="none" w:sz="0" w:space="0" w:color="auto"/>
        <w:right w:val="none" w:sz="0" w:space="0" w:color="auto"/>
      </w:divBdr>
    </w:div>
    <w:div w:id="1593930531">
      <w:bodyDiv w:val="1"/>
      <w:marLeft w:val="0"/>
      <w:marRight w:val="0"/>
      <w:marTop w:val="0"/>
      <w:marBottom w:val="0"/>
      <w:divBdr>
        <w:top w:val="none" w:sz="0" w:space="0" w:color="auto"/>
        <w:left w:val="none" w:sz="0" w:space="0" w:color="auto"/>
        <w:bottom w:val="none" w:sz="0" w:space="0" w:color="auto"/>
        <w:right w:val="none" w:sz="0" w:space="0" w:color="auto"/>
      </w:divBdr>
    </w:div>
    <w:div w:id="1634172176">
      <w:bodyDiv w:val="1"/>
      <w:marLeft w:val="0"/>
      <w:marRight w:val="0"/>
      <w:marTop w:val="0"/>
      <w:marBottom w:val="0"/>
      <w:divBdr>
        <w:top w:val="none" w:sz="0" w:space="0" w:color="auto"/>
        <w:left w:val="none" w:sz="0" w:space="0" w:color="auto"/>
        <w:bottom w:val="none" w:sz="0" w:space="0" w:color="auto"/>
        <w:right w:val="none" w:sz="0" w:space="0" w:color="auto"/>
      </w:divBdr>
    </w:div>
    <w:div w:id="1712682919">
      <w:bodyDiv w:val="1"/>
      <w:marLeft w:val="0"/>
      <w:marRight w:val="0"/>
      <w:marTop w:val="0"/>
      <w:marBottom w:val="0"/>
      <w:divBdr>
        <w:top w:val="none" w:sz="0" w:space="0" w:color="auto"/>
        <w:left w:val="none" w:sz="0" w:space="0" w:color="auto"/>
        <w:bottom w:val="none" w:sz="0" w:space="0" w:color="auto"/>
        <w:right w:val="none" w:sz="0" w:space="0" w:color="auto"/>
      </w:divBdr>
    </w:div>
    <w:div w:id="1746875622">
      <w:bodyDiv w:val="1"/>
      <w:marLeft w:val="0"/>
      <w:marRight w:val="0"/>
      <w:marTop w:val="0"/>
      <w:marBottom w:val="0"/>
      <w:divBdr>
        <w:top w:val="none" w:sz="0" w:space="0" w:color="auto"/>
        <w:left w:val="none" w:sz="0" w:space="0" w:color="auto"/>
        <w:bottom w:val="none" w:sz="0" w:space="0" w:color="auto"/>
        <w:right w:val="none" w:sz="0" w:space="0" w:color="auto"/>
      </w:divBdr>
    </w:div>
    <w:div w:id="1860698821">
      <w:bodyDiv w:val="1"/>
      <w:marLeft w:val="0"/>
      <w:marRight w:val="0"/>
      <w:marTop w:val="0"/>
      <w:marBottom w:val="0"/>
      <w:divBdr>
        <w:top w:val="none" w:sz="0" w:space="0" w:color="auto"/>
        <w:left w:val="none" w:sz="0" w:space="0" w:color="auto"/>
        <w:bottom w:val="none" w:sz="0" w:space="0" w:color="auto"/>
        <w:right w:val="none" w:sz="0" w:space="0" w:color="auto"/>
      </w:divBdr>
    </w:div>
    <w:div w:id="1991012618">
      <w:bodyDiv w:val="1"/>
      <w:marLeft w:val="0"/>
      <w:marRight w:val="0"/>
      <w:marTop w:val="0"/>
      <w:marBottom w:val="0"/>
      <w:divBdr>
        <w:top w:val="none" w:sz="0" w:space="0" w:color="auto"/>
        <w:left w:val="none" w:sz="0" w:space="0" w:color="auto"/>
        <w:bottom w:val="none" w:sz="0" w:space="0" w:color="auto"/>
        <w:right w:val="none" w:sz="0" w:space="0" w:color="auto"/>
      </w:divBdr>
    </w:div>
    <w:div w:id="2076590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mygepension.com/assets/uploads/GE-Energy-Pension-Scheme-SIP.pdf"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0ff25a27-629a-4546-b44a-7a6038177347</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A60CC-1EA5-4431-9C53-9D9CCDC4BBD5}">
  <ds:schemaRefs>
    <ds:schemaRef ds:uri="http://schemas.titus.com/TitusProperties/"/>
    <ds:schemaRef ds:uri=""/>
  </ds:schemaRefs>
</ds:datastoreItem>
</file>

<file path=customXml/itemProps2.xml><?xml version="1.0" encoding="utf-8"?>
<ds:datastoreItem xmlns:ds="http://schemas.openxmlformats.org/officeDocument/2006/customXml" ds:itemID="{F83AAF1F-1240-4DBF-AECF-2D3E0C4E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1081</Words>
  <Characters>6165</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kfinnimo (Katherine Finnimore)</dc:creator>
  <cp:keywords/>
  <dc:description/>
  <cp:lastModifiedBy>Claire Arnold</cp:lastModifiedBy>
  <cp:revision>3</cp:revision>
  <dcterms:created xsi:type="dcterms:W3CDTF">2024-10-16T21:28:00Z</dcterms:created>
  <dcterms:modified xsi:type="dcterms:W3CDTF">2024-10-16T21:35:00Z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0ff25a27-629a-4546-b44a-7a6038177347</vt:lpwstr>
  </property>
  <property fmtid="{D5CDD505-2E9C-101B-9397-08002B2CF9AE}" pid="3" name="AonClassification">
    <vt:lpwstr>ADC_class_200</vt:lpwstr>
  </property>
  <property fmtid="{D5CDD505-2E9C-101B-9397-08002B2CF9AE}" pid="4" name="MSIP_Label_9043f10a-881e-4653-a55e-02ca2cc829dc_Enabled">
    <vt:lpwstr>true</vt:lpwstr>
  </property>
  <property fmtid="{D5CDD505-2E9C-101B-9397-08002B2CF9AE}" pid="5" name="MSIP_Label_9043f10a-881e-4653-a55e-02ca2cc829dc_SetDate">
    <vt:lpwstr>2024-02-22T12:34:09Z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57b5851a-adaf-447c-a880-d34c1f4632fd</vt:lpwstr>
  </property>
  <property fmtid="{D5CDD505-2E9C-101B-9397-08002B2CF9AE}" pid="10" name="MSIP_Label_9043f10a-881e-4653-a55e-02ca2cc829dc_ContentBits">
    <vt:lpwstr>0</vt:lpwstr>
  </property>
</Properties>
</file>